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1315F" w14:textId="0EF77EC2" w:rsidR="00213912" w:rsidRDefault="00213912" w:rsidP="00213912">
      <w:pPr>
        <w:widowControl w:val="0"/>
        <w:tabs>
          <w:tab w:val="right" w:pos="9639"/>
          <w:tab w:val="right" w:pos="13323"/>
        </w:tabs>
        <w:spacing w:after="0"/>
        <w:jc w:val="both"/>
        <w:rPr>
          <w:rFonts w:ascii="Arial" w:hAnsi="Arial" w:cs="Arial"/>
          <w:b/>
          <w:bCs/>
          <w:color w:val="808080"/>
          <w:sz w:val="26"/>
          <w:szCs w:val="26"/>
        </w:rPr>
      </w:pPr>
      <w:bookmarkStart w:id="0" w:name="_Hlk506802394"/>
      <w:r>
        <w:rPr>
          <w:rFonts w:ascii="Arial" w:hAnsi="Arial" w:cs="Arial"/>
          <w:b/>
          <w:noProof/>
          <w:sz w:val="24"/>
          <w:szCs w:val="24"/>
        </w:rPr>
        <w:t>3</w:t>
      </w:r>
      <w:r w:rsidRPr="00C45A63">
        <w:rPr>
          <w:rFonts w:ascii="Arial" w:hAnsi="Arial" w:cs="Arial"/>
          <w:b/>
          <w:noProof/>
          <w:sz w:val="24"/>
          <w:szCs w:val="24"/>
        </w:rPr>
        <w:t>GPPRAN4#</w:t>
      </w:r>
      <w:r>
        <w:rPr>
          <w:rFonts w:ascii="Arial" w:hAnsi="Arial" w:cs="Arial"/>
          <w:b/>
          <w:noProof/>
          <w:sz w:val="24"/>
          <w:szCs w:val="24"/>
        </w:rPr>
        <w:t>95-e</w:t>
      </w:r>
      <w:r w:rsidRPr="004B7E17">
        <w:rPr>
          <w:rFonts w:ascii="Arial" w:hAnsi="Arial" w:cs="Arial"/>
          <w:b/>
          <w:noProof/>
          <w:sz w:val="24"/>
          <w:szCs w:val="24"/>
        </w:rPr>
        <w:tab/>
      </w:r>
      <w:bookmarkStart w:id="1" w:name="_GoBack"/>
      <w:r w:rsidR="00C042C4" w:rsidRPr="0087126C">
        <w:rPr>
          <w:rFonts w:ascii="Arial" w:eastAsia="Times New Roman" w:hAnsi="Arial" w:cs="Arial"/>
          <w:b/>
          <w:bCs/>
          <w:sz w:val="24"/>
          <w:szCs w:val="24"/>
        </w:rPr>
        <w:t>R4-2007497</w:t>
      </w:r>
    </w:p>
    <w:bookmarkEnd w:id="1"/>
    <w:p w14:paraId="1E2FCB87" w14:textId="055B4179" w:rsidR="00213912" w:rsidRDefault="00213912" w:rsidP="00213912">
      <w:pPr>
        <w:pStyle w:val="Footer"/>
        <w:jc w:val="both"/>
        <w:rPr>
          <w:rFonts w:eastAsia="SimSun"/>
          <w:i w:val="0"/>
          <w:noProof w:val="0"/>
          <w:sz w:val="24"/>
          <w:szCs w:val="24"/>
        </w:rPr>
      </w:pPr>
      <w:r>
        <w:rPr>
          <w:rFonts w:eastAsia="SimSun"/>
          <w:i w:val="0"/>
          <w:noProof w:val="0"/>
          <w:sz w:val="24"/>
          <w:szCs w:val="24"/>
        </w:rPr>
        <w:t>Online Meeting, May</w:t>
      </w:r>
      <w:r w:rsidRPr="0000187B">
        <w:rPr>
          <w:rFonts w:eastAsia="SimSun"/>
          <w:i w:val="0"/>
          <w:noProof w:val="0"/>
          <w:sz w:val="24"/>
          <w:szCs w:val="24"/>
        </w:rPr>
        <w:t xml:space="preserve"> </w:t>
      </w:r>
      <w:r>
        <w:rPr>
          <w:rFonts w:eastAsia="SimSun"/>
          <w:i w:val="0"/>
          <w:noProof w:val="0"/>
          <w:sz w:val="24"/>
          <w:szCs w:val="24"/>
        </w:rPr>
        <w:t>25</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June 5</w:t>
      </w:r>
      <w:r w:rsidRPr="00AC0688">
        <w:rPr>
          <w:rFonts w:eastAsia="SimSun"/>
          <w:i w:val="0"/>
          <w:noProof w:val="0"/>
          <w:sz w:val="24"/>
          <w:szCs w:val="24"/>
          <w:vertAlign w:val="superscript"/>
        </w:rPr>
        <w:t>th</w:t>
      </w:r>
      <w:r w:rsidRPr="0000187B">
        <w:rPr>
          <w:rFonts w:eastAsia="SimSun"/>
          <w:i w:val="0"/>
          <w:noProof w:val="0"/>
          <w:sz w:val="24"/>
          <w:szCs w:val="24"/>
        </w:rPr>
        <w:t>, 20</w:t>
      </w:r>
      <w:r>
        <w:rPr>
          <w:rFonts w:eastAsia="SimSun"/>
          <w:i w:val="0"/>
          <w:noProof w:val="0"/>
          <w:sz w:val="24"/>
          <w:szCs w:val="24"/>
        </w:rPr>
        <w:t>20</w:t>
      </w:r>
    </w:p>
    <w:p w14:paraId="2A9FAE7F" w14:textId="77777777" w:rsidR="00213912" w:rsidRDefault="00213912" w:rsidP="00213912">
      <w:pPr>
        <w:pStyle w:val="Footer"/>
        <w:jc w:val="both"/>
        <w:rPr>
          <w:noProof w:val="0"/>
        </w:rPr>
      </w:pPr>
    </w:p>
    <w:p w14:paraId="4AF5F74F" w14:textId="3B8D9A22" w:rsidR="00213912" w:rsidRPr="00A510C0" w:rsidRDefault="00213912" w:rsidP="00213912">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b/>
          <w:bCs/>
          <w:sz w:val="24"/>
        </w:rPr>
        <w:t>RRM requirements with common and independent beams in FR2</w:t>
      </w:r>
      <w:r>
        <w:rPr>
          <w:rFonts w:ascii="Arial" w:hAnsi="Arial"/>
          <w:b/>
          <w:sz w:val="24"/>
        </w:rPr>
        <w:t xml:space="preserve"> inter band CA</w:t>
      </w:r>
      <w:r w:rsidRPr="001E48B2">
        <w:rPr>
          <w:rFonts w:ascii="Arial" w:eastAsia="SimSun" w:hAnsi="Arial"/>
          <w:b/>
          <w:sz w:val="24"/>
          <w:lang w:eastAsia="zh-CN"/>
        </w:rPr>
        <w:t xml:space="preserve"> </w:t>
      </w:r>
    </w:p>
    <w:p w14:paraId="591D5BE1" w14:textId="77777777" w:rsidR="00213912" w:rsidRPr="00D372E9" w:rsidRDefault="00213912" w:rsidP="00213912">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565A99D5" w14:textId="425EDB33" w:rsidR="00213912" w:rsidRPr="002E1604" w:rsidRDefault="00213912" w:rsidP="00213912">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Pr>
          <w:rFonts w:ascii="Arial" w:hAnsi="Arial"/>
          <w:b/>
          <w:sz w:val="24"/>
        </w:rPr>
        <w:t>6</w:t>
      </w:r>
      <w:r w:rsidRPr="00F8264D">
        <w:rPr>
          <w:rFonts w:ascii="Arial" w:hAnsi="Arial"/>
          <w:b/>
          <w:sz w:val="24"/>
        </w:rPr>
        <w:t>.15.1.10</w:t>
      </w:r>
      <w:r w:rsidRPr="00F8264D">
        <w:rPr>
          <w:rFonts w:ascii="Arial" w:hAnsi="Arial"/>
          <w:b/>
          <w:sz w:val="24"/>
        </w:rPr>
        <w:tab/>
      </w:r>
    </w:p>
    <w:p w14:paraId="6CCC6B13" w14:textId="77777777" w:rsidR="00213912" w:rsidRPr="00E15948" w:rsidRDefault="00213912" w:rsidP="00213912">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7934AAEA" w14:textId="77777777" w:rsidR="00213912" w:rsidRDefault="009202D2" w:rsidP="00213912">
      <w:r>
        <w:pict w14:anchorId="71B3C44C">
          <v:rect id="_x0000_i1025" style="width:0;height:1.5pt" o:hralign="center" o:hrstd="t" o:hr="t" fillcolor="#a0a0a0" stroked="f"/>
        </w:pict>
      </w:r>
    </w:p>
    <w:p w14:paraId="748DCC50" w14:textId="77777777" w:rsidR="00213912" w:rsidRDefault="00213912" w:rsidP="00213912">
      <w:pPr>
        <w:pStyle w:val="Heading1"/>
      </w:pPr>
      <w:r w:rsidRPr="00E15948">
        <w:t>Introduction</w:t>
      </w:r>
    </w:p>
    <w:p w14:paraId="7EE41C42" w14:textId="36684EEF" w:rsidR="00213912" w:rsidRDefault="00213912" w:rsidP="00213912">
      <w:r>
        <w:t xml:space="preserve">In RAN4#94-e we agreed on a WF [1] on FR2 inter-band CA requirements. </w:t>
      </w:r>
      <w:r w:rsidR="006B1645">
        <w:t>According to the WF of the last meeting [2], most of the following items are</w:t>
      </w:r>
      <w:r w:rsidR="000B703D">
        <w:t xml:space="preserve"> still</w:t>
      </w:r>
      <w:r w:rsidR="006B1645">
        <w:t xml:space="preserve"> open for common </w:t>
      </w:r>
      <w:r w:rsidR="000B703D">
        <w:t>beams. On the other hand, a few of the following items are open for independent beams.</w:t>
      </w:r>
    </w:p>
    <w:p w14:paraId="465302D6" w14:textId="77777777" w:rsidR="00213912" w:rsidRDefault="00213912" w:rsidP="00213912">
      <w:pPr>
        <w:pStyle w:val="ListParagraph"/>
        <w:numPr>
          <w:ilvl w:val="0"/>
          <w:numId w:val="3"/>
        </w:numPr>
      </w:pPr>
      <w:r>
        <w:t>Interruption requirements</w:t>
      </w:r>
    </w:p>
    <w:p w14:paraId="79A0ABCC" w14:textId="07072630" w:rsidR="00213912" w:rsidRDefault="00213912" w:rsidP="00213912">
      <w:pPr>
        <w:pStyle w:val="ListParagraph"/>
        <w:numPr>
          <w:ilvl w:val="0"/>
          <w:numId w:val="3"/>
        </w:numPr>
      </w:pPr>
      <w:r>
        <w:t>Beam management</w:t>
      </w:r>
      <w:r w:rsidR="006B1645">
        <w:t xml:space="preserve"> </w:t>
      </w:r>
    </w:p>
    <w:p w14:paraId="23EBAC12" w14:textId="77777777" w:rsidR="00213912" w:rsidRDefault="00213912" w:rsidP="00213912">
      <w:pPr>
        <w:pStyle w:val="ListParagraph"/>
        <w:numPr>
          <w:ilvl w:val="0"/>
          <w:numId w:val="3"/>
        </w:numPr>
      </w:pPr>
      <w:r>
        <w:t>Scheduling restrictions</w:t>
      </w:r>
    </w:p>
    <w:p w14:paraId="2334E4DD" w14:textId="77777777" w:rsidR="00213912" w:rsidRDefault="00213912" w:rsidP="00213912">
      <w:pPr>
        <w:pStyle w:val="ListParagraph"/>
        <w:numPr>
          <w:ilvl w:val="0"/>
          <w:numId w:val="3"/>
        </w:numPr>
      </w:pPr>
      <w:r>
        <w:t>Measurement restrictions</w:t>
      </w:r>
    </w:p>
    <w:p w14:paraId="1F4959EB" w14:textId="433FB936" w:rsidR="000B703D" w:rsidRDefault="00213912" w:rsidP="000B703D">
      <w:pPr>
        <w:pStyle w:val="ListParagraph"/>
        <w:numPr>
          <w:ilvl w:val="0"/>
          <w:numId w:val="3"/>
        </w:numPr>
      </w:pPr>
      <w:proofErr w:type="spellStart"/>
      <w:r>
        <w:t>Scell</w:t>
      </w:r>
      <w:proofErr w:type="spellEnd"/>
      <w:r>
        <w:t xml:space="preserve"> activation delay</w:t>
      </w:r>
    </w:p>
    <w:p w14:paraId="335915FC" w14:textId="1DB9FE6C" w:rsidR="000B703D" w:rsidRDefault="000B703D" w:rsidP="000B703D">
      <w:r>
        <w:t>We discuss these open issues in our contribution.</w:t>
      </w:r>
    </w:p>
    <w:p w14:paraId="18A6ADDD" w14:textId="77777777" w:rsidR="00213912" w:rsidRDefault="00213912" w:rsidP="00213912">
      <w:pPr>
        <w:pStyle w:val="Heading1"/>
      </w:pPr>
      <w:r>
        <w:t xml:space="preserve">Discussion   </w:t>
      </w:r>
    </w:p>
    <w:p w14:paraId="4D68AD62" w14:textId="77777777" w:rsidR="00213912" w:rsidRDefault="00213912" w:rsidP="00213912">
      <w:pPr>
        <w:pStyle w:val="Heading2"/>
      </w:pPr>
      <w:r>
        <w:t xml:space="preserve">Common beam </w:t>
      </w:r>
    </w:p>
    <w:p w14:paraId="43D067FC" w14:textId="77777777" w:rsidR="00213912" w:rsidRDefault="00213912" w:rsidP="00213912">
      <w:r>
        <w:t>We reproduce the common beam section from our last contribution since there are no agreements in RAN4 on this part. For a UE to use a common beam across two bands, there are a few conditions that the cells in the two bands will need to satisfy.</w:t>
      </w:r>
    </w:p>
    <w:p w14:paraId="2D321127" w14:textId="1C79A628" w:rsidR="00213912" w:rsidRDefault="00213912" w:rsidP="00213912">
      <w:pPr>
        <w:pStyle w:val="ListParagraph"/>
        <w:numPr>
          <w:ilvl w:val="0"/>
          <w:numId w:val="2"/>
        </w:numPr>
      </w:pPr>
      <w:r>
        <w:t xml:space="preserve">the </w:t>
      </w:r>
      <w:proofErr w:type="spellStart"/>
      <w:r>
        <w:t>gNB’s</w:t>
      </w:r>
      <w:proofErr w:type="spellEnd"/>
      <w:r>
        <w:t xml:space="preserve"> for the two cells need to be co-located</w:t>
      </w:r>
      <w:r w:rsidR="000B703D">
        <w:t>.</w:t>
      </w:r>
    </w:p>
    <w:p w14:paraId="74C8E081" w14:textId="68B3E7AC" w:rsidR="00213912" w:rsidRDefault="00213912" w:rsidP="00213912">
      <w:pPr>
        <w:pStyle w:val="ListParagraph"/>
        <w:numPr>
          <w:ilvl w:val="0"/>
          <w:numId w:val="2"/>
        </w:numPr>
      </w:pPr>
      <w:r>
        <w:t xml:space="preserve">the two </w:t>
      </w:r>
      <w:proofErr w:type="spellStart"/>
      <w:r>
        <w:t>gNB’s</w:t>
      </w:r>
      <w:proofErr w:type="spellEnd"/>
      <w:r>
        <w:t xml:space="preserve"> will need to use the same spatial transmission filter. If the two cells are not using the same spatial transmission filter to receive and transmit, the UE will not be able to use the same beam to transmit and receive from the two cells simultaneously. </w:t>
      </w:r>
    </w:p>
    <w:p w14:paraId="59599ED0" w14:textId="720EC99C" w:rsidR="00213912" w:rsidRDefault="00213912" w:rsidP="00213912">
      <w:pPr>
        <w:pStyle w:val="ListParagraph"/>
        <w:numPr>
          <w:ilvl w:val="0"/>
          <w:numId w:val="2"/>
        </w:numPr>
      </w:pPr>
      <w:r>
        <w:t>the time synchronization between the two cells needs to be within 260 ns. This is the same value as that for MRTD for intra-band contiguous scenario. If this MRTD is not met, it would result in significant performance degradation as there would be loss of a symbol on one of the CC’s every time the UE switches its beams.</w:t>
      </w:r>
      <w:r w:rsidR="0044247C">
        <w:t xml:space="preserve"> </w:t>
      </w:r>
      <w:r w:rsidR="00FA5CD3" w:rsidRPr="00FA5CD3">
        <w:rPr>
          <w:lang w:eastAsia="ja-JP"/>
        </w:rPr>
        <w:t>If 260ns MRTD is not feasible for all scenarios, then some performance degradation for MRTD larger than a threshold</w:t>
      </w:r>
      <w:r w:rsidR="00FA5CD3">
        <w:rPr>
          <w:lang w:eastAsia="ja-JP"/>
        </w:rPr>
        <w:t xml:space="preserve"> </w:t>
      </w:r>
      <w:r w:rsidR="00FA5CD3" w:rsidRPr="00FA5CD3">
        <w:rPr>
          <w:lang w:eastAsia="ja-JP"/>
        </w:rPr>
        <w:t>(e.g. 260ns) should be discussed.</w:t>
      </w:r>
    </w:p>
    <w:p w14:paraId="5E2E6568" w14:textId="77777777" w:rsidR="00213912" w:rsidRDefault="00213912" w:rsidP="00213912">
      <w:pPr>
        <w:pStyle w:val="ListParagraph"/>
        <w:numPr>
          <w:ilvl w:val="0"/>
          <w:numId w:val="2"/>
        </w:numPr>
      </w:pPr>
      <w:r>
        <w:lastRenderedPageBreak/>
        <w:t xml:space="preserve">Same power imbalance as that in intra-band contiguous case. </w:t>
      </w:r>
    </w:p>
    <w:p w14:paraId="34F52A70" w14:textId="52D0EA40" w:rsidR="00213912" w:rsidRDefault="00213912" w:rsidP="00213912">
      <w:r w:rsidRPr="000759A1">
        <w:rPr>
          <w:b/>
          <w:bCs/>
        </w:rPr>
        <w:t>Proposal 1</w:t>
      </w:r>
      <w:r>
        <w:t xml:space="preserve">: RAN4 to define requirements for bands in which the UE can use a common beam. These requirements need to be defined for co-location, spatial filter, MRTD/MTTD and power imbalance. RAN4 to use intra-band requirements as baseline. </w:t>
      </w:r>
    </w:p>
    <w:p w14:paraId="33B78A51" w14:textId="1B69471B" w:rsidR="006556FD" w:rsidRDefault="006556FD" w:rsidP="006556FD">
      <w:pPr>
        <w:pStyle w:val="ListParagraph"/>
        <w:numPr>
          <w:ilvl w:val="0"/>
          <w:numId w:val="15"/>
        </w:numPr>
      </w:pPr>
      <w:r>
        <w:t xml:space="preserve">MRTD/MTTD requirements can be defined in </w:t>
      </w:r>
      <w:r w:rsidR="00C60785">
        <w:t>thread #12</w:t>
      </w:r>
      <w:r w:rsidR="00EA26B4">
        <w:t>1</w:t>
      </w:r>
      <w:r w:rsidR="00C60785">
        <w:t>.</w:t>
      </w:r>
      <w:r>
        <w:t xml:space="preserve"> </w:t>
      </w:r>
    </w:p>
    <w:p w14:paraId="0CA7C6F9" w14:textId="51654494" w:rsidR="006B1645" w:rsidRDefault="006B1645" w:rsidP="006B1645">
      <w:pPr>
        <w:pStyle w:val="Heading3"/>
        <w:rPr>
          <w:rFonts w:asciiTheme="minorHAnsi" w:hAnsiTheme="minorHAnsi" w:cstheme="minorHAnsi"/>
        </w:rPr>
      </w:pPr>
      <w:r w:rsidRPr="006B1645">
        <w:rPr>
          <w:rFonts w:asciiTheme="minorHAnsi" w:hAnsiTheme="minorHAnsi" w:cstheme="minorHAnsi"/>
        </w:rPr>
        <w:t>Interruption</w:t>
      </w:r>
    </w:p>
    <w:p w14:paraId="4061CA17" w14:textId="5972395D" w:rsidR="000B703D" w:rsidRDefault="000B703D" w:rsidP="000B703D">
      <w:r>
        <w:t>We have had the following agreement during the last meeting [2]</w:t>
      </w:r>
    </w:p>
    <w:tbl>
      <w:tblPr>
        <w:tblStyle w:val="TableGrid"/>
        <w:tblW w:w="0" w:type="auto"/>
        <w:tblLook w:val="04A0" w:firstRow="1" w:lastRow="0" w:firstColumn="1" w:lastColumn="0" w:noHBand="0" w:noVBand="1"/>
      </w:tblPr>
      <w:tblGrid>
        <w:gridCol w:w="9350"/>
      </w:tblGrid>
      <w:tr w:rsidR="000B703D" w:rsidRPr="00CC1587" w14:paraId="2987DC68" w14:textId="77777777" w:rsidTr="00DA72F3">
        <w:tc>
          <w:tcPr>
            <w:tcW w:w="9350" w:type="dxa"/>
          </w:tcPr>
          <w:p w14:paraId="0CECE44A" w14:textId="77777777" w:rsidR="000B703D" w:rsidRPr="000B703D" w:rsidRDefault="000B703D" w:rsidP="000B703D">
            <w:pPr>
              <w:numPr>
                <w:ilvl w:val="0"/>
                <w:numId w:val="5"/>
              </w:numPr>
              <w:spacing w:after="180"/>
              <w:jc w:val="both"/>
              <w:rPr>
                <w:color w:val="000000" w:themeColor="text1"/>
                <w:szCs w:val="24"/>
                <w:lang w:eastAsia="zh-CN"/>
              </w:rPr>
            </w:pPr>
            <w:r w:rsidRPr="000B703D">
              <w:rPr>
                <w:color w:val="000000" w:themeColor="text1"/>
                <w:szCs w:val="24"/>
                <w:lang w:eastAsia="zh-CN"/>
              </w:rPr>
              <w:t>For a FR2 inter-band CA combination with using independent beam management, the existing interruption requirements for inter-band CA can be applied.</w:t>
            </w:r>
          </w:p>
          <w:p w14:paraId="76FE9FEE" w14:textId="77777777" w:rsidR="000B703D" w:rsidRPr="000B703D" w:rsidRDefault="000B703D" w:rsidP="000B703D">
            <w:pPr>
              <w:numPr>
                <w:ilvl w:val="0"/>
                <w:numId w:val="5"/>
              </w:numPr>
              <w:spacing w:after="180"/>
              <w:jc w:val="both"/>
              <w:rPr>
                <w:color w:val="000000" w:themeColor="text1"/>
                <w:szCs w:val="24"/>
                <w:lang w:eastAsia="zh-CN"/>
              </w:rPr>
            </w:pPr>
            <w:r w:rsidRPr="000B703D">
              <w:rPr>
                <w:color w:val="000000" w:themeColor="text1"/>
                <w:szCs w:val="24"/>
                <w:lang w:val="en-GB" w:eastAsia="zh-CN"/>
              </w:rPr>
              <w:t>For a FR2 inter-band CA combination with using common beam management, FFS whether the existing interruption requirements for inter-band CA can be applied.</w:t>
            </w:r>
          </w:p>
          <w:p w14:paraId="214A5E61" w14:textId="77777777" w:rsidR="000B703D" w:rsidRPr="000B703D" w:rsidRDefault="000B703D" w:rsidP="000B703D">
            <w:pPr>
              <w:numPr>
                <w:ilvl w:val="1"/>
                <w:numId w:val="5"/>
              </w:numPr>
              <w:spacing w:after="180"/>
              <w:jc w:val="both"/>
              <w:rPr>
                <w:color w:val="000000" w:themeColor="text1"/>
                <w:szCs w:val="24"/>
                <w:lang w:eastAsia="zh-CN"/>
              </w:rPr>
            </w:pPr>
            <w:r w:rsidRPr="000B703D">
              <w:rPr>
                <w:color w:val="000000" w:themeColor="text1"/>
                <w:szCs w:val="24"/>
                <w:lang w:val="en-GB" w:eastAsia="zh-CN"/>
              </w:rPr>
              <w:t xml:space="preserve">RF inputs on </w:t>
            </w:r>
            <w:r w:rsidRPr="000B703D">
              <w:rPr>
                <w:color w:val="000000" w:themeColor="text1"/>
                <w:szCs w:val="24"/>
                <w:lang w:eastAsia="zh-CN"/>
              </w:rPr>
              <w:t xml:space="preserve">RF architectures for </w:t>
            </w:r>
            <w:r w:rsidRPr="000B703D">
              <w:rPr>
                <w:color w:val="000000" w:themeColor="text1"/>
                <w:szCs w:val="24"/>
                <w:lang w:val="en-GB" w:eastAsia="zh-CN"/>
              </w:rPr>
              <w:t xml:space="preserve">FR2 inter-band CA combination with using common beam management are required. </w:t>
            </w:r>
          </w:p>
          <w:p w14:paraId="3D137EE3" w14:textId="77777777" w:rsidR="000B703D" w:rsidRPr="000B703D" w:rsidRDefault="000B703D" w:rsidP="000B703D">
            <w:pPr>
              <w:numPr>
                <w:ilvl w:val="1"/>
                <w:numId w:val="5"/>
              </w:numPr>
              <w:spacing w:after="180"/>
              <w:jc w:val="both"/>
              <w:rPr>
                <w:color w:val="000000" w:themeColor="text1"/>
                <w:szCs w:val="24"/>
                <w:lang w:eastAsia="zh-CN"/>
              </w:rPr>
            </w:pPr>
            <w:r w:rsidRPr="000B703D">
              <w:rPr>
                <w:color w:val="000000" w:themeColor="text1"/>
                <w:szCs w:val="24"/>
                <w:lang w:val="en-GB" w:eastAsia="zh-CN"/>
              </w:rPr>
              <w:t xml:space="preserve">If the separate RF chains are assumed for FR2 inter-band CA combination with using common beam management, </w:t>
            </w:r>
            <w:r w:rsidRPr="000B703D">
              <w:rPr>
                <w:color w:val="000000" w:themeColor="text1"/>
                <w:szCs w:val="24"/>
                <w:lang w:eastAsia="zh-CN"/>
              </w:rPr>
              <w:t>the existing</w:t>
            </w:r>
            <w:r w:rsidRPr="000B703D">
              <w:rPr>
                <w:color w:val="000000" w:themeColor="text1"/>
                <w:szCs w:val="24"/>
                <w:lang w:val="en-GB" w:eastAsia="zh-CN"/>
              </w:rPr>
              <w:t xml:space="preserve"> interruption requirements of inter-band CA can be applied.</w:t>
            </w:r>
          </w:p>
          <w:p w14:paraId="05730B5F" w14:textId="2FCA2465" w:rsidR="000B703D" w:rsidRPr="000B703D" w:rsidRDefault="000B703D" w:rsidP="000B703D">
            <w:pPr>
              <w:numPr>
                <w:ilvl w:val="1"/>
                <w:numId w:val="5"/>
              </w:numPr>
              <w:spacing w:after="180"/>
              <w:jc w:val="both"/>
              <w:rPr>
                <w:color w:val="000000" w:themeColor="text1"/>
                <w:szCs w:val="24"/>
                <w:lang w:eastAsia="zh-CN"/>
              </w:rPr>
            </w:pPr>
            <w:r w:rsidRPr="000B703D">
              <w:rPr>
                <w:color w:val="000000" w:themeColor="text1"/>
                <w:szCs w:val="24"/>
                <w:lang w:val="en-GB" w:eastAsia="zh-CN"/>
              </w:rPr>
              <w:t xml:space="preserve">If the same RF chain is assumed for FR2 inter-band CA combination with using common beam management, FFS whether </w:t>
            </w:r>
            <w:r w:rsidRPr="000B703D">
              <w:rPr>
                <w:color w:val="000000" w:themeColor="text1"/>
                <w:szCs w:val="24"/>
                <w:lang w:eastAsia="zh-CN"/>
              </w:rPr>
              <w:t>the existing</w:t>
            </w:r>
            <w:r w:rsidRPr="000B703D">
              <w:rPr>
                <w:color w:val="000000" w:themeColor="text1"/>
                <w:szCs w:val="24"/>
                <w:lang w:val="en-GB" w:eastAsia="zh-CN"/>
              </w:rPr>
              <w:t xml:space="preserve"> interruption requirements of intra-band CA can be applied.</w:t>
            </w:r>
          </w:p>
        </w:tc>
      </w:tr>
    </w:tbl>
    <w:p w14:paraId="109BB455" w14:textId="0608F450" w:rsidR="000B703D" w:rsidRDefault="000B703D" w:rsidP="006B1645"/>
    <w:p w14:paraId="431A00DE" w14:textId="322FD075" w:rsidR="000B703D" w:rsidRDefault="000B703D" w:rsidP="006B1645">
      <w:r>
        <w:t>If UE uses same RF chain to operate in FR2 inter-band CA with common beam management (CBM), the existing interruption requirements of intra-band CA will be needed for the UE.</w:t>
      </w:r>
    </w:p>
    <w:p w14:paraId="20916793" w14:textId="7DB1A29C" w:rsidR="000B703D" w:rsidRDefault="000B703D" w:rsidP="006B1645">
      <w:r>
        <w:t>Whether UE uses same or different RF chains to operate in FR2 inter-band CA with common beams will be up to UE implementation. The requirements should be defined so that UE can satisfy the requirements with both implementations. Since, interruption requirements of intra-band CA are more conservative than those of inter-band CA, we propose to apply these to define the interruption requirements of inter-band CA with common beams.</w:t>
      </w:r>
    </w:p>
    <w:p w14:paraId="5620195C" w14:textId="77777777" w:rsidR="000B703D" w:rsidRDefault="000B703D" w:rsidP="000B703D">
      <w:r w:rsidRPr="00863432">
        <w:rPr>
          <w:b/>
          <w:bCs/>
        </w:rPr>
        <w:t>Observation 1:</w:t>
      </w:r>
      <w:r>
        <w:t xml:space="preserve"> If UE uses same RF chain to operate in FR2 inter-band CA with common beam management (CBM), the existing interruption requirements of intra-band CA will be needed for the UE.</w:t>
      </w:r>
    </w:p>
    <w:p w14:paraId="22B82765" w14:textId="5314F314" w:rsidR="000B703D" w:rsidRDefault="000B703D" w:rsidP="006B1645">
      <w:r w:rsidRPr="00863432">
        <w:rPr>
          <w:b/>
          <w:bCs/>
        </w:rPr>
        <w:t>Observation 2:</w:t>
      </w:r>
      <w:r>
        <w:t xml:space="preserve"> Whether UE uses same or different RF chains to operate in FR2 inter-band CA with common beams will be up to UE implementation. The requirements should be defined so that UE can satisfy the requirements with both implementations.</w:t>
      </w:r>
    </w:p>
    <w:p w14:paraId="65BE28B8" w14:textId="7959D9D8" w:rsidR="000B703D" w:rsidRPr="006B1645" w:rsidRDefault="000B703D" w:rsidP="006B1645">
      <w:r w:rsidRPr="00863432">
        <w:rPr>
          <w:b/>
          <w:bCs/>
        </w:rPr>
        <w:t>Proposal 2:</w:t>
      </w:r>
      <w:r>
        <w:t xml:space="preserve"> </w:t>
      </w:r>
      <w:r w:rsidR="00863432" w:rsidRPr="000B703D">
        <w:rPr>
          <w:color w:val="000000" w:themeColor="text1"/>
          <w:szCs w:val="24"/>
          <w:lang w:val="en-GB" w:eastAsia="zh-CN"/>
        </w:rPr>
        <w:t>For a FR2 inter-band CA combination with using common beam management</w:t>
      </w:r>
      <w:r w:rsidR="00863432">
        <w:rPr>
          <w:color w:val="000000" w:themeColor="text1"/>
          <w:szCs w:val="24"/>
          <w:lang w:val="en-GB" w:eastAsia="zh-CN"/>
        </w:rPr>
        <w:t xml:space="preserve">, </w:t>
      </w:r>
      <w:r w:rsidRPr="000B703D">
        <w:rPr>
          <w:color w:val="000000" w:themeColor="text1"/>
          <w:szCs w:val="24"/>
          <w:lang w:eastAsia="zh-CN"/>
        </w:rPr>
        <w:t>the existing</w:t>
      </w:r>
      <w:r w:rsidRPr="000B703D">
        <w:rPr>
          <w:color w:val="000000" w:themeColor="text1"/>
          <w:szCs w:val="24"/>
          <w:lang w:val="en-GB" w:eastAsia="zh-CN"/>
        </w:rPr>
        <w:t xml:space="preserve"> interruption requirements of intra-band CA can be applied.</w:t>
      </w:r>
    </w:p>
    <w:p w14:paraId="3850B683" w14:textId="30505407" w:rsidR="00863432" w:rsidRDefault="00863432">
      <w:pPr>
        <w:pStyle w:val="Heading3"/>
      </w:pPr>
      <w:r>
        <w:t>Beam management</w:t>
      </w:r>
    </w:p>
    <w:p w14:paraId="14B45D6C" w14:textId="5B902827" w:rsidR="00863432" w:rsidRDefault="00863432" w:rsidP="00863432"/>
    <w:p w14:paraId="67931617" w14:textId="5969FAED" w:rsidR="00863432" w:rsidRPr="00863432" w:rsidRDefault="00863432" w:rsidP="00863432">
      <w:r>
        <w:lastRenderedPageBreak/>
        <w:t>We have had the following agreement during the last meeting [2]</w:t>
      </w:r>
    </w:p>
    <w:tbl>
      <w:tblPr>
        <w:tblStyle w:val="TableGrid"/>
        <w:tblW w:w="0" w:type="auto"/>
        <w:tblLook w:val="04A0" w:firstRow="1" w:lastRow="0" w:firstColumn="1" w:lastColumn="0" w:noHBand="0" w:noVBand="1"/>
      </w:tblPr>
      <w:tblGrid>
        <w:gridCol w:w="9350"/>
      </w:tblGrid>
      <w:tr w:rsidR="00863432" w:rsidRPr="00CC1587" w14:paraId="6787788F" w14:textId="77777777" w:rsidTr="00DA72F3">
        <w:tc>
          <w:tcPr>
            <w:tcW w:w="9350" w:type="dxa"/>
          </w:tcPr>
          <w:p w14:paraId="51CC4A89" w14:textId="77777777" w:rsidR="00863432" w:rsidRPr="00863432" w:rsidRDefault="00863432" w:rsidP="00863432">
            <w:pPr>
              <w:numPr>
                <w:ilvl w:val="0"/>
                <w:numId w:val="5"/>
              </w:numPr>
              <w:spacing w:after="180"/>
              <w:jc w:val="both"/>
              <w:rPr>
                <w:color w:val="000000" w:themeColor="text1"/>
                <w:szCs w:val="24"/>
                <w:lang w:eastAsia="zh-CN"/>
              </w:rPr>
            </w:pPr>
            <w:r w:rsidRPr="00863432">
              <w:rPr>
                <w:color w:val="000000" w:themeColor="text1"/>
                <w:szCs w:val="24"/>
                <w:lang w:eastAsia="zh-CN"/>
              </w:rPr>
              <w:t xml:space="preserve">Beam management requirements for FR2 inter-band CA </w:t>
            </w:r>
            <w:r w:rsidRPr="00863432">
              <w:rPr>
                <w:color w:val="000000" w:themeColor="text1"/>
                <w:szCs w:val="24"/>
                <w:lang w:val="en-GB" w:eastAsia="zh-CN"/>
              </w:rPr>
              <w:t xml:space="preserve">combination </w:t>
            </w:r>
            <w:r w:rsidRPr="00863432">
              <w:rPr>
                <w:color w:val="000000" w:themeColor="text1"/>
                <w:szCs w:val="24"/>
                <w:lang w:eastAsia="zh-CN"/>
              </w:rPr>
              <w:t xml:space="preserve">with common </w:t>
            </w:r>
            <w:proofErr w:type="gramStart"/>
            <w:r w:rsidRPr="00863432">
              <w:rPr>
                <w:color w:val="000000" w:themeColor="text1"/>
                <w:szCs w:val="24"/>
                <w:lang w:eastAsia="zh-CN"/>
              </w:rPr>
              <w:t>beam :</w:t>
            </w:r>
            <w:proofErr w:type="gramEnd"/>
          </w:p>
          <w:p w14:paraId="25544DF3" w14:textId="77777777" w:rsidR="00863432" w:rsidRPr="00863432" w:rsidRDefault="00863432" w:rsidP="00863432">
            <w:pPr>
              <w:numPr>
                <w:ilvl w:val="1"/>
                <w:numId w:val="5"/>
              </w:numPr>
              <w:spacing w:after="180"/>
              <w:jc w:val="both"/>
              <w:rPr>
                <w:color w:val="000000" w:themeColor="text1"/>
                <w:szCs w:val="24"/>
                <w:lang w:eastAsia="zh-CN"/>
              </w:rPr>
            </w:pPr>
            <w:r w:rsidRPr="00863432">
              <w:rPr>
                <w:color w:val="000000" w:themeColor="text1"/>
                <w:szCs w:val="24"/>
                <w:lang w:val="en-GB" w:eastAsia="zh-CN"/>
              </w:rPr>
              <w:t xml:space="preserve">RAN4 needs to study whether UE is necessary to perform BFD/CBD measurements on </w:t>
            </w:r>
            <w:proofErr w:type="spellStart"/>
            <w:r w:rsidRPr="00863432">
              <w:rPr>
                <w:color w:val="000000" w:themeColor="text1"/>
                <w:szCs w:val="24"/>
                <w:lang w:val="en-GB" w:eastAsia="zh-CN"/>
              </w:rPr>
              <w:t>SCell</w:t>
            </w:r>
            <w:proofErr w:type="spellEnd"/>
            <w:r w:rsidRPr="00863432">
              <w:rPr>
                <w:color w:val="000000" w:themeColor="text1"/>
                <w:szCs w:val="24"/>
                <w:lang w:val="en-GB" w:eastAsia="zh-CN"/>
              </w:rPr>
              <w:t>.</w:t>
            </w:r>
          </w:p>
          <w:p w14:paraId="381ABB0E" w14:textId="77777777" w:rsidR="00863432" w:rsidRPr="00863432" w:rsidRDefault="00863432" w:rsidP="00863432">
            <w:pPr>
              <w:numPr>
                <w:ilvl w:val="2"/>
                <w:numId w:val="5"/>
              </w:numPr>
              <w:spacing w:after="180"/>
              <w:jc w:val="both"/>
              <w:rPr>
                <w:color w:val="000000" w:themeColor="text1"/>
                <w:szCs w:val="24"/>
                <w:lang w:eastAsia="zh-CN"/>
              </w:rPr>
            </w:pPr>
            <w:r w:rsidRPr="00863432">
              <w:rPr>
                <w:color w:val="000000" w:themeColor="text1"/>
                <w:szCs w:val="24"/>
                <w:u w:val="single"/>
                <w:lang w:eastAsia="zh-CN"/>
              </w:rPr>
              <w:t>Option 1</w:t>
            </w:r>
            <w:r w:rsidRPr="00863432">
              <w:rPr>
                <w:color w:val="000000" w:themeColor="text1"/>
                <w:szCs w:val="24"/>
                <w:lang w:eastAsia="zh-CN"/>
              </w:rPr>
              <w:t>:</w:t>
            </w:r>
            <w:r>
              <w:rPr>
                <w:color w:val="000000" w:themeColor="text1"/>
                <w:szCs w:val="24"/>
                <w:lang w:eastAsia="zh-CN"/>
              </w:rPr>
              <w:t xml:space="preserve"> </w:t>
            </w:r>
            <w:r w:rsidRPr="00863432">
              <w:rPr>
                <w:color w:val="000000" w:themeColor="text1"/>
                <w:szCs w:val="24"/>
                <w:lang w:eastAsia="zh-CN"/>
              </w:rPr>
              <w:t>T</w:t>
            </w:r>
            <w:r w:rsidRPr="00863432">
              <w:rPr>
                <w:color w:val="000000" w:themeColor="text1"/>
                <w:szCs w:val="24"/>
                <w:lang w:val="en-GB" w:eastAsia="zh-CN"/>
              </w:rPr>
              <w:t xml:space="preserve">he BFD/CBD on </w:t>
            </w:r>
            <w:proofErr w:type="spellStart"/>
            <w:r w:rsidRPr="00863432">
              <w:rPr>
                <w:color w:val="000000" w:themeColor="text1"/>
                <w:szCs w:val="24"/>
                <w:lang w:val="en-GB" w:eastAsia="zh-CN"/>
              </w:rPr>
              <w:t>SCell</w:t>
            </w:r>
            <w:proofErr w:type="spellEnd"/>
            <w:r w:rsidRPr="00863432">
              <w:rPr>
                <w:color w:val="000000" w:themeColor="text1"/>
                <w:szCs w:val="24"/>
                <w:lang w:val="en-GB" w:eastAsia="zh-CN"/>
              </w:rPr>
              <w:t xml:space="preserve"> is not necessary, because the beam management can rely on the </w:t>
            </w:r>
            <w:proofErr w:type="spellStart"/>
            <w:r w:rsidRPr="00863432">
              <w:rPr>
                <w:color w:val="000000" w:themeColor="text1"/>
                <w:szCs w:val="24"/>
                <w:lang w:val="en-GB" w:eastAsia="zh-CN"/>
              </w:rPr>
              <w:t>PCell</w:t>
            </w:r>
            <w:proofErr w:type="spellEnd"/>
            <w:r w:rsidRPr="00863432">
              <w:rPr>
                <w:color w:val="000000" w:themeColor="text1"/>
                <w:szCs w:val="24"/>
                <w:lang w:val="en-GB" w:eastAsia="zh-CN"/>
              </w:rPr>
              <w:t xml:space="preserve"> which the common beam is applied as it for the </w:t>
            </w:r>
            <w:proofErr w:type="spellStart"/>
            <w:r w:rsidRPr="00863432">
              <w:rPr>
                <w:color w:val="000000" w:themeColor="text1"/>
                <w:szCs w:val="24"/>
                <w:lang w:val="en-GB" w:eastAsia="zh-CN"/>
              </w:rPr>
              <w:t>SCell</w:t>
            </w:r>
            <w:proofErr w:type="spellEnd"/>
            <w:r w:rsidRPr="00863432">
              <w:rPr>
                <w:color w:val="000000" w:themeColor="text1"/>
                <w:szCs w:val="24"/>
                <w:lang w:val="en-GB" w:eastAsia="zh-CN"/>
              </w:rPr>
              <w:t>.</w:t>
            </w:r>
          </w:p>
          <w:p w14:paraId="6218ABE6" w14:textId="75D644CF" w:rsidR="00863432" w:rsidRPr="00863432" w:rsidRDefault="00863432" w:rsidP="00863432">
            <w:pPr>
              <w:numPr>
                <w:ilvl w:val="2"/>
                <w:numId w:val="5"/>
              </w:numPr>
              <w:spacing w:after="180"/>
              <w:jc w:val="both"/>
              <w:rPr>
                <w:color w:val="000000" w:themeColor="text1"/>
                <w:szCs w:val="24"/>
                <w:lang w:eastAsia="zh-CN"/>
              </w:rPr>
            </w:pPr>
            <w:r w:rsidRPr="00863432">
              <w:rPr>
                <w:color w:val="000000" w:themeColor="text1"/>
                <w:szCs w:val="24"/>
                <w:u w:val="single"/>
                <w:lang w:eastAsia="zh-CN"/>
              </w:rPr>
              <w:t>Option 2</w:t>
            </w:r>
            <w:r w:rsidRPr="00863432">
              <w:rPr>
                <w:color w:val="000000" w:themeColor="text1"/>
                <w:szCs w:val="24"/>
                <w:lang w:eastAsia="zh-CN"/>
              </w:rPr>
              <w:t>: Others</w:t>
            </w:r>
          </w:p>
        </w:tc>
      </w:tr>
    </w:tbl>
    <w:p w14:paraId="446136DC" w14:textId="47A632E4" w:rsidR="00863432" w:rsidRDefault="00863432" w:rsidP="00863432"/>
    <w:p w14:paraId="4DFB2766" w14:textId="2F1E0166" w:rsidR="00EE3206" w:rsidRDefault="00EE3206" w:rsidP="00863432">
      <w:r>
        <w:t>We expressed our views regarding this issue, in details in [3]. If UE can receive multiple bands with the same RX beam, it does not need to perform BFD/CBD in each of these FR2 bands. Rather, the concept of “band group” can be introduced where UE needs to perform BFD/CBD in only one band within the “band group”.</w:t>
      </w:r>
    </w:p>
    <w:p w14:paraId="6EB1637E" w14:textId="05EE7ADB" w:rsidR="00EE3206" w:rsidRPr="00EE3206" w:rsidRDefault="00EE3206" w:rsidP="00EE3206">
      <w:pPr>
        <w:rPr>
          <w:rFonts w:cstheme="minorHAnsi"/>
        </w:rPr>
      </w:pPr>
      <w:r w:rsidRPr="00EE3206">
        <w:rPr>
          <w:b/>
          <w:bCs/>
        </w:rPr>
        <w:t xml:space="preserve">Proposal 3: </w:t>
      </w:r>
      <w:r w:rsidRPr="00EE3206">
        <w:rPr>
          <w:rFonts w:cstheme="minorHAnsi"/>
        </w:rPr>
        <w:t>Define an active “BFD band group”</w:t>
      </w:r>
      <w:proofErr w:type="gramStart"/>
      <w:r>
        <w:rPr>
          <w:rFonts w:cstheme="minorHAnsi"/>
        </w:rPr>
        <w:t>/”CB</w:t>
      </w:r>
      <w:r w:rsidR="005C4CDF">
        <w:rPr>
          <w:rFonts w:cstheme="minorHAnsi"/>
        </w:rPr>
        <w:t>D</w:t>
      </w:r>
      <w:proofErr w:type="gramEnd"/>
      <w:r w:rsidR="005C4CDF">
        <w:rPr>
          <w:rFonts w:cstheme="minorHAnsi"/>
        </w:rPr>
        <w:t xml:space="preserve"> band group”</w:t>
      </w:r>
      <w:r w:rsidRPr="00EE3206">
        <w:rPr>
          <w:rFonts w:cstheme="minorHAnsi"/>
        </w:rPr>
        <w:t xml:space="preserve"> as a set of active bands whose BFD-RS</w:t>
      </w:r>
      <w:r w:rsidR="005C4CDF">
        <w:rPr>
          <w:rFonts w:cstheme="minorHAnsi"/>
        </w:rPr>
        <w:t>/CBD-RS</w:t>
      </w:r>
      <w:r w:rsidRPr="00EE3206">
        <w:rPr>
          <w:rFonts w:cstheme="minorHAnsi"/>
        </w:rPr>
        <w:t xml:space="preserve"> can be received by the UE through a common beam</w:t>
      </w:r>
    </w:p>
    <w:p w14:paraId="2642C5F2" w14:textId="0E410CE2" w:rsidR="00EE3206" w:rsidRPr="00EE3206" w:rsidRDefault="00EE3206" w:rsidP="00EE3206">
      <w:pPr>
        <w:pStyle w:val="ListParagraph"/>
        <w:numPr>
          <w:ilvl w:val="0"/>
          <w:numId w:val="11"/>
        </w:numPr>
        <w:spacing w:after="180" w:line="240" w:lineRule="auto"/>
        <w:rPr>
          <w:rFonts w:cstheme="minorHAnsi"/>
        </w:rPr>
      </w:pPr>
      <w:r w:rsidRPr="00EE3206">
        <w:rPr>
          <w:rFonts w:cstheme="minorHAnsi"/>
        </w:rPr>
        <w:t>UE needs to meet BFD-RS</w:t>
      </w:r>
      <w:r w:rsidR="005C4CDF">
        <w:rPr>
          <w:rFonts w:cstheme="minorHAnsi"/>
        </w:rPr>
        <w:t>/CBD-RS</w:t>
      </w:r>
      <w:r w:rsidRPr="00EE3206">
        <w:rPr>
          <w:rFonts w:cstheme="minorHAnsi"/>
        </w:rPr>
        <w:t xml:space="preserve"> evaluation requirements for only one active band within the active “BFD band group”</w:t>
      </w:r>
      <w:r w:rsidR="005C4CDF">
        <w:rPr>
          <w:rFonts w:cstheme="minorHAnsi"/>
        </w:rPr>
        <w:t>/” CBD band group”</w:t>
      </w:r>
    </w:p>
    <w:p w14:paraId="057A2370" w14:textId="7BCD5A01" w:rsidR="005C4CDF" w:rsidRDefault="005C4CDF" w:rsidP="005C4CDF">
      <w:pPr>
        <w:rPr>
          <w:rFonts w:cstheme="minorHAnsi"/>
        </w:rPr>
      </w:pPr>
      <w:r w:rsidRPr="00F96EF6">
        <w:rPr>
          <w:rFonts w:cstheme="minorHAnsi"/>
        </w:rPr>
        <w:t>In this context, scaling factor of BFD-RS</w:t>
      </w:r>
      <w:r>
        <w:rPr>
          <w:rFonts w:cstheme="minorHAnsi"/>
        </w:rPr>
        <w:t>/CBD-RS</w:t>
      </w:r>
      <w:r w:rsidRPr="00F96EF6">
        <w:rPr>
          <w:rFonts w:cstheme="minorHAnsi"/>
        </w:rPr>
        <w:t xml:space="preserve"> evaluation during carrier aggregation should be equal to the number of activated “BFD</w:t>
      </w:r>
      <w:r>
        <w:rPr>
          <w:rFonts w:cstheme="minorHAnsi"/>
        </w:rPr>
        <w:t xml:space="preserve"> band</w:t>
      </w:r>
      <w:r w:rsidRPr="00F96EF6">
        <w:rPr>
          <w:rFonts w:cstheme="minorHAnsi"/>
        </w:rPr>
        <w:t xml:space="preserve"> groups”</w:t>
      </w:r>
      <w:r>
        <w:rPr>
          <w:rFonts w:cstheme="minorHAnsi"/>
        </w:rPr>
        <w:t>/” CBD band groups”</w:t>
      </w:r>
      <w:r w:rsidRPr="00F96EF6">
        <w:rPr>
          <w:rFonts w:cstheme="minorHAnsi"/>
        </w:rPr>
        <w:t xml:space="preserve">. </w:t>
      </w:r>
    </w:p>
    <w:p w14:paraId="39AE2561" w14:textId="569B802F" w:rsidR="005C4CDF" w:rsidRPr="00F96EF6" w:rsidRDefault="005C4CDF" w:rsidP="005C4CDF">
      <w:pPr>
        <w:rPr>
          <w:rFonts w:cstheme="minorHAnsi"/>
          <w:b/>
          <w:bCs/>
        </w:rPr>
      </w:pPr>
      <w:r w:rsidRPr="00F96EF6">
        <w:rPr>
          <w:rFonts w:cstheme="minorHAnsi"/>
          <w:b/>
          <w:bCs/>
        </w:rPr>
        <w:t xml:space="preserve">Proposal 4: </w:t>
      </w:r>
      <w:r w:rsidRPr="005C4CDF">
        <w:rPr>
          <w:rFonts w:cstheme="minorHAnsi"/>
        </w:rPr>
        <w:t>Scaling factor of BFD-RS/CBD-RS evaluation period during FR2 inter-band CA</w:t>
      </w:r>
      <w:r w:rsidR="007A006A">
        <w:rPr>
          <w:rFonts w:cstheme="minorHAnsi"/>
        </w:rPr>
        <w:t xml:space="preserve"> with common beams</w:t>
      </w:r>
      <w:r w:rsidRPr="005C4CDF">
        <w:rPr>
          <w:rFonts w:cstheme="minorHAnsi"/>
        </w:rPr>
        <w:t xml:space="preserve"> is equal to the number of active “BFD band groups”</w:t>
      </w:r>
      <w:r w:rsidR="00266336" w:rsidRPr="005C4CDF">
        <w:rPr>
          <w:rFonts w:cstheme="minorHAnsi"/>
        </w:rPr>
        <w:t>/” CBD</w:t>
      </w:r>
      <w:r w:rsidRPr="005C4CDF">
        <w:rPr>
          <w:rFonts w:cstheme="minorHAnsi"/>
        </w:rPr>
        <w:t xml:space="preserve"> band groups”.</w:t>
      </w:r>
    </w:p>
    <w:p w14:paraId="2D28799A" w14:textId="3F26949B" w:rsidR="00EE3206" w:rsidRPr="00863432" w:rsidRDefault="00EE3206" w:rsidP="00863432"/>
    <w:p w14:paraId="6932B812" w14:textId="142657C1" w:rsidR="003B432D" w:rsidRDefault="003B432D">
      <w:pPr>
        <w:pStyle w:val="Heading3"/>
      </w:pPr>
      <w:r>
        <w:t>Measurement restriction</w:t>
      </w:r>
    </w:p>
    <w:p w14:paraId="1E014648" w14:textId="2E32B587" w:rsidR="003B432D" w:rsidRDefault="003B432D" w:rsidP="003B432D"/>
    <w:p w14:paraId="47EEB877" w14:textId="52AEC25F" w:rsidR="003B432D" w:rsidRDefault="003B432D" w:rsidP="003B432D">
      <w:r>
        <w:t>RAN4 made the following relevant agreement during the last meeting [2]</w:t>
      </w:r>
    </w:p>
    <w:tbl>
      <w:tblPr>
        <w:tblStyle w:val="TableGrid"/>
        <w:tblW w:w="0" w:type="auto"/>
        <w:tblLook w:val="04A0" w:firstRow="1" w:lastRow="0" w:firstColumn="1" w:lastColumn="0" w:noHBand="0" w:noVBand="1"/>
      </w:tblPr>
      <w:tblGrid>
        <w:gridCol w:w="9350"/>
      </w:tblGrid>
      <w:tr w:rsidR="003B432D" w:rsidRPr="00CC1587" w14:paraId="7721F589" w14:textId="77777777" w:rsidTr="00DA72F3">
        <w:tc>
          <w:tcPr>
            <w:tcW w:w="9350" w:type="dxa"/>
          </w:tcPr>
          <w:p w14:paraId="5AECB2EB" w14:textId="77777777" w:rsidR="003B432D" w:rsidRPr="003B432D" w:rsidRDefault="003B432D" w:rsidP="003B432D">
            <w:pPr>
              <w:spacing w:after="160" w:line="259" w:lineRule="auto"/>
            </w:pPr>
            <w:r w:rsidRPr="003B432D">
              <w:t xml:space="preserve">Measurement restriction requirement for FR2 inter-band CA </w:t>
            </w:r>
            <w:r w:rsidRPr="003B432D">
              <w:rPr>
                <w:lang w:val="en-GB"/>
              </w:rPr>
              <w:t xml:space="preserve">combination </w:t>
            </w:r>
            <w:r w:rsidRPr="003B432D">
              <w:t>with common beam</w:t>
            </w:r>
          </w:p>
          <w:p w14:paraId="4598D523" w14:textId="77777777" w:rsidR="003B432D" w:rsidRPr="003B432D" w:rsidRDefault="003B432D" w:rsidP="003B432D">
            <w:pPr>
              <w:numPr>
                <w:ilvl w:val="2"/>
                <w:numId w:val="13"/>
              </w:numPr>
              <w:spacing w:after="160" w:line="259" w:lineRule="auto"/>
            </w:pPr>
            <w:r w:rsidRPr="003B432D">
              <w:t xml:space="preserve">The measurement </w:t>
            </w:r>
            <w:r w:rsidRPr="003B432D">
              <w:rPr>
                <w:lang w:val="en-GB"/>
              </w:rPr>
              <w:t xml:space="preserve">restriction requirements due to RLM/BFD/CBD/L1-RSRP measurements </w:t>
            </w:r>
            <w:r w:rsidRPr="003B432D">
              <w:t xml:space="preserve">being performed </w:t>
            </w:r>
            <w:r w:rsidRPr="003B432D">
              <w:rPr>
                <w:lang w:val="en-GB"/>
              </w:rPr>
              <w:t>on different FR2 bands need to be introduced for FR2 inter-band CA if UE uses common beam.</w:t>
            </w:r>
          </w:p>
          <w:p w14:paraId="13356B8C" w14:textId="77777777" w:rsidR="003B432D" w:rsidRPr="003B432D" w:rsidRDefault="003B432D" w:rsidP="003B432D">
            <w:pPr>
              <w:numPr>
                <w:ilvl w:val="2"/>
                <w:numId w:val="13"/>
              </w:numPr>
              <w:spacing w:after="160" w:line="259" w:lineRule="auto"/>
            </w:pPr>
            <w:r w:rsidRPr="003B432D">
              <w:rPr>
                <w:lang w:val="en-GB"/>
              </w:rPr>
              <w:t>Option 1:</w:t>
            </w:r>
          </w:p>
          <w:p w14:paraId="036B8672" w14:textId="77777777" w:rsidR="003B432D" w:rsidRPr="003B432D" w:rsidRDefault="003B432D" w:rsidP="003B432D">
            <w:pPr>
              <w:numPr>
                <w:ilvl w:val="3"/>
                <w:numId w:val="13"/>
              </w:numPr>
              <w:spacing w:after="160" w:line="259" w:lineRule="auto"/>
            </w:pPr>
            <w:r w:rsidRPr="003B432D">
              <w:rPr>
                <w:lang w:val="en-GB"/>
              </w:rPr>
              <w:t xml:space="preserve">There </w:t>
            </w:r>
            <w:proofErr w:type="gramStart"/>
            <w:r w:rsidRPr="003B432D">
              <w:rPr>
                <w:lang w:val="en-GB"/>
              </w:rPr>
              <w:t>are</w:t>
            </w:r>
            <w:proofErr w:type="gramEnd"/>
            <w:r w:rsidRPr="003B432D">
              <w:rPr>
                <w:lang w:val="en-GB"/>
              </w:rPr>
              <w:t xml:space="preserve"> no measurement restriction if following conditions are satisfied:</w:t>
            </w:r>
          </w:p>
          <w:p w14:paraId="4F1179D0" w14:textId="77777777" w:rsidR="003B432D" w:rsidRPr="003B432D" w:rsidRDefault="003B432D" w:rsidP="003B432D">
            <w:pPr>
              <w:numPr>
                <w:ilvl w:val="4"/>
                <w:numId w:val="13"/>
              </w:numPr>
              <w:spacing w:after="160" w:line="259" w:lineRule="auto"/>
            </w:pPr>
            <w:r w:rsidRPr="003B432D">
              <w:rPr>
                <w:lang w:val="en-GB"/>
              </w:rPr>
              <w:t>Transmission points of each FR2 band are co-located.</w:t>
            </w:r>
          </w:p>
          <w:p w14:paraId="6C7AF574" w14:textId="77777777" w:rsidR="003B432D" w:rsidRPr="003B432D" w:rsidRDefault="003B432D" w:rsidP="003B432D">
            <w:pPr>
              <w:numPr>
                <w:ilvl w:val="5"/>
                <w:numId w:val="13"/>
              </w:numPr>
              <w:spacing w:after="160" w:line="259" w:lineRule="auto"/>
            </w:pPr>
            <w:r w:rsidRPr="003B432D">
              <w:rPr>
                <w:lang w:val="en-GB"/>
              </w:rPr>
              <w:lastRenderedPageBreak/>
              <w:t>FFS whether QCL type D between measurement resources of each band is needed.</w:t>
            </w:r>
          </w:p>
          <w:p w14:paraId="44275BA0" w14:textId="77777777" w:rsidR="003B432D" w:rsidRPr="003B432D" w:rsidRDefault="003B432D" w:rsidP="003B432D">
            <w:pPr>
              <w:numPr>
                <w:ilvl w:val="4"/>
                <w:numId w:val="13"/>
              </w:numPr>
              <w:spacing w:after="160" w:line="259" w:lineRule="auto"/>
            </w:pPr>
            <w:r w:rsidRPr="003B432D">
              <w:rPr>
                <w:lang w:val="en-GB"/>
              </w:rPr>
              <w:t>Time domain allocation of each measurement RS is partially or fully overlapped.</w:t>
            </w:r>
          </w:p>
          <w:p w14:paraId="34F2E5F6" w14:textId="77777777" w:rsidR="003B432D" w:rsidRPr="003B432D" w:rsidRDefault="003B432D" w:rsidP="003B432D">
            <w:pPr>
              <w:numPr>
                <w:ilvl w:val="2"/>
                <w:numId w:val="13"/>
              </w:numPr>
              <w:spacing w:after="160" w:line="259" w:lineRule="auto"/>
            </w:pPr>
            <w:r w:rsidRPr="003B432D">
              <w:rPr>
                <w:lang w:val="en-GB"/>
              </w:rPr>
              <w:t>Option 2:</w:t>
            </w:r>
          </w:p>
          <w:p w14:paraId="656CEA3A" w14:textId="77777777" w:rsidR="003B432D" w:rsidRPr="003B432D" w:rsidRDefault="003B432D" w:rsidP="003B432D">
            <w:pPr>
              <w:numPr>
                <w:ilvl w:val="3"/>
                <w:numId w:val="13"/>
              </w:numPr>
              <w:spacing w:after="160" w:line="259" w:lineRule="auto"/>
            </w:pPr>
            <w:r w:rsidRPr="003B432D">
              <w:rPr>
                <w:lang w:val="en-GB"/>
              </w:rPr>
              <w:t>The existing measurement restriction requirements for FR2 shall be extended to serving cells in different bands.</w:t>
            </w:r>
          </w:p>
          <w:p w14:paraId="06A4B0DE" w14:textId="49AED1AD" w:rsidR="003B432D" w:rsidRPr="003B432D" w:rsidRDefault="003B432D" w:rsidP="003B432D">
            <w:pPr>
              <w:numPr>
                <w:ilvl w:val="2"/>
                <w:numId w:val="13"/>
              </w:numPr>
              <w:spacing w:after="160" w:line="259" w:lineRule="auto"/>
            </w:pPr>
            <w:r w:rsidRPr="003B432D">
              <w:t>Others</w:t>
            </w:r>
          </w:p>
        </w:tc>
      </w:tr>
    </w:tbl>
    <w:p w14:paraId="6A6AD222" w14:textId="0CF9F420" w:rsidR="003B432D" w:rsidRDefault="003B432D" w:rsidP="003B432D"/>
    <w:p w14:paraId="6C171A09" w14:textId="0D956030" w:rsidR="002502EA" w:rsidRDefault="002502EA" w:rsidP="003B432D">
      <w:r>
        <w:t xml:space="preserve">Even if a UE can receive two FR2 bands with the same common RX beam, it may not be able to receive SSB and CSI-RS simultaneously where SSB and CSI-RS have different SCS. This will depend on if UE supports </w:t>
      </w:r>
      <w:proofErr w:type="spellStart"/>
      <w:r>
        <w:t>simultaneouslyRxDataSSB-DiffNumerology</w:t>
      </w:r>
      <w:proofErr w:type="spellEnd"/>
      <w:r>
        <w:t xml:space="preserve"> or not. Hence, existing measurement restriction requirements for FR2 shall be extended to serving cells in different bands.</w:t>
      </w:r>
    </w:p>
    <w:p w14:paraId="41D4B7D7" w14:textId="6CDF0C7C" w:rsidR="003B432D" w:rsidRPr="003B432D" w:rsidRDefault="002502EA" w:rsidP="002502EA">
      <w:r w:rsidRPr="002502EA">
        <w:rPr>
          <w:b/>
          <w:bCs/>
        </w:rPr>
        <w:t>Proposal 5:</w:t>
      </w:r>
      <w:r>
        <w:t xml:space="preserve"> F</w:t>
      </w:r>
      <w:r w:rsidRPr="003B432D">
        <w:t xml:space="preserve">or FR2 inter-band CA </w:t>
      </w:r>
      <w:r w:rsidRPr="003B432D">
        <w:rPr>
          <w:lang w:val="en-GB"/>
        </w:rPr>
        <w:t xml:space="preserve">combination </w:t>
      </w:r>
      <w:r w:rsidRPr="003B432D">
        <w:t>with common beam</w:t>
      </w:r>
      <w:r>
        <w:t xml:space="preserve">, </w:t>
      </w:r>
      <w:r>
        <w:rPr>
          <w:lang w:val="en-GB"/>
        </w:rPr>
        <w:t>t</w:t>
      </w:r>
      <w:r w:rsidR="003B432D" w:rsidRPr="003B432D">
        <w:rPr>
          <w:lang w:val="en-GB"/>
        </w:rPr>
        <w:t>he existing measurement restriction requirements for FR2 shall be extended to serving cells in different bands.</w:t>
      </w:r>
    </w:p>
    <w:p w14:paraId="3697D1BA" w14:textId="6DF5AE39" w:rsidR="002502EA" w:rsidRPr="003B432D" w:rsidRDefault="002502EA" w:rsidP="003B432D"/>
    <w:p w14:paraId="43EED7A0" w14:textId="195F3E00" w:rsidR="002502EA" w:rsidRDefault="002502EA">
      <w:pPr>
        <w:pStyle w:val="Heading3"/>
      </w:pPr>
      <w:proofErr w:type="spellStart"/>
      <w:r>
        <w:t>SCell</w:t>
      </w:r>
      <w:proofErr w:type="spellEnd"/>
      <w:r>
        <w:t xml:space="preserve"> activation in FR2</w:t>
      </w:r>
    </w:p>
    <w:p w14:paraId="1AA17314" w14:textId="06C7E88C" w:rsidR="002502EA" w:rsidRDefault="002502EA" w:rsidP="002502EA"/>
    <w:p w14:paraId="7786B17D" w14:textId="77777777" w:rsidR="002502EA" w:rsidRDefault="002502EA" w:rsidP="002502EA">
      <w:r>
        <w:t>RAN4 made the following relevant agreement during the last meeting [2]</w:t>
      </w:r>
    </w:p>
    <w:tbl>
      <w:tblPr>
        <w:tblStyle w:val="TableGrid"/>
        <w:tblW w:w="0" w:type="auto"/>
        <w:tblLook w:val="04A0" w:firstRow="1" w:lastRow="0" w:firstColumn="1" w:lastColumn="0" w:noHBand="0" w:noVBand="1"/>
      </w:tblPr>
      <w:tblGrid>
        <w:gridCol w:w="9350"/>
      </w:tblGrid>
      <w:tr w:rsidR="002502EA" w:rsidRPr="00CC1587" w14:paraId="1986DE0B" w14:textId="77777777" w:rsidTr="00DA72F3">
        <w:tc>
          <w:tcPr>
            <w:tcW w:w="9350" w:type="dxa"/>
          </w:tcPr>
          <w:p w14:paraId="57689C84" w14:textId="77777777" w:rsidR="002502EA" w:rsidRPr="002502EA" w:rsidRDefault="002502EA" w:rsidP="002502EA">
            <w:pPr>
              <w:spacing w:after="160" w:line="259" w:lineRule="auto"/>
            </w:pPr>
            <w:proofErr w:type="spellStart"/>
            <w:r w:rsidRPr="002502EA">
              <w:t>SCell</w:t>
            </w:r>
            <w:proofErr w:type="spellEnd"/>
            <w:r w:rsidRPr="002502EA">
              <w:t xml:space="preserve"> activation requirement for case 2: </w:t>
            </w:r>
            <w:proofErr w:type="spellStart"/>
            <w:r w:rsidRPr="002502EA">
              <w:rPr>
                <w:lang w:val="en-GB"/>
              </w:rPr>
              <w:t>SCell</w:t>
            </w:r>
            <w:proofErr w:type="spellEnd"/>
            <w:r w:rsidRPr="002502EA">
              <w:rPr>
                <w:lang w:val="en-GB"/>
              </w:rPr>
              <w:t xml:space="preserve"> being activated belongs to FR2 and if there is no active serving cell on that FR2 band provided that </w:t>
            </w:r>
            <w:proofErr w:type="spellStart"/>
            <w:r w:rsidRPr="002502EA">
              <w:rPr>
                <w:lang w:val="en-GB"/>
              </w:rPr>
              <w:t>PCell</w:t>
            </w:r>
            <w:proofErr w:type="spellEnd"/>
            <w:r w:rsidRPr="002502EA">
              <w:rPr>
                <w:lang w:val="en-GB"/>
              </w:rPr>
              <w:t xml:space="preserve"> or </w:t>
            </w:r>
            <w:proofErr w:type="spellStart"/>
            <w:r w:rsidRPr="002502EA">
              <w:rPr>
                <w:lang w:val="en-GB"/>
              </w:rPr>
              <w:t>PSCell</w:t>
            </w:r>
            <w:proofErr w:type="spellEnd"/>
            <w:r w:rsidRPr="002502EA">
              <w:rPr>
                <w:lang w:val="en-GB"/>
              </w:rPr>
              <w:t xml:space="preserve"> is FR2</w:t>
            </w:r>
          </w:p>
          <w:p w14:paraId="3C57F6DE" w14:textId="77777777" w:rsidR="002502EA" w:rsidRPr="002502EA" w:rsidRDefault="002502EA" w:rsidP="002502EA">
            <w:pPr>
              <w:numPr>
                <w:ilvl w:val="2"/>
                <w:numId w:val="13"/>
              </w:numPr>
              <w:spacing w:after="160" w:line="259" w:lineRule="auto"/>
            </w:pPr>
            <w:r w:rsidRPr="002502EA">
              <w:rPr>
                <w:lang w:val="en-GB"/>
              </w:rPr>
              <w:t xml:space="preserve">For </w:t>
            </w:r>
            <w:r w:rsidRPr="002502EA">
              <w:t xml:space="preserve">FR2 inter-band CA </w:t>
            </w:r>
            <w:r w:rsidRPr="002502EA">
              <w:rPr>
                <w:lang w:val="en-GB"/>
              </w:rPr>
              <w:t xml:space="preserve">combination </w:t>
            </w:r>
            <w:r w:rsidRPr="002502EA">
              <w:t>with common beam</w:t>
            </w:r>
            <w:r w:rsidRPr="002502EA">
              <w:rPr>
                <w:lang w:val="en-GB"/>
              </w:rPr>
              <w:t xml:space="preserve">. </w:t>
            </w:r>
          </w:p>
          <w:p w14:paraId="15A67DEA" w14:textId="77777777" w:rsidR="002502EA" w:rsidRPr="002502EA" w:rsidRDefault="002502EA" w:rsidP="002502EA">
            <w:pPr>
              <w:numPr>
                <w:ilvl w:val="3"/>
                <w:numId w:val="13"/>
              </w:numPr>
              <w:spacing w:after="160" w:line="259" w:lineRule="auto"/>
            </w:pPr>
            <w:r w:rsidRPr="002502EA">
              <w:rPr>
                <w:lang w:val="en-GB"/>
              </w:rPr>
              <w:t>The existing requirement of “</w:t>
            </w:r>
            <w:proofErr w:type="spellStart"/>
            <w:r w:rsidRPr="002502EA">
              <w:rPr>
                <w:lang w:val="en-GB"/>
              </w:rPr>
              <w:t>SCell</w:t>
            </w:r>
            <w:proofErr w:type="spellEnd"/>
            <w:r w:rsidRPr="002502EA">
              <w:rPr>
                <w:lang w:val="en-GB"/>
              </w:rPr>
              <w:t xml:space="preserve"> being activated belongs to FR2 and if there is no active serving cell on that FR2 band provided that </w:t>
            </w:r>
            <w:proofErr w:type="spellStart"/>
            <w:r w:rsidRPr="002502EA">
              <w:rPr>
                <w:lang w:val="en-GB"/>
              </w:rPr>
              <w:t>PCell</w:t>
            </w:r>
            <w:proofErr w:type="spellEnd"/>
            <w:r w:rsidRPr="002502EA">
              <w:rPr>
                <w:lang w:val="en-GB"/>
              </w:rPr>
              <w:t xml:space="preserve"> or </w:t>
            </w:r>
            <w:proofErr w:type="spellStart"/>
            <w:r w:rsidRPr="002502EA">
              <w:rPr>
                <w:lang w:val="en-GB"/>
              </w:rPr>
              <w:t>PSCell</w:t>
            </w:r>
            <w:proofErr w:type="spellEnd"/>
            <w:r w:rsidRPr="002502EA">
              <w:rPr>
                <w:lang w:val="en-GB"/>
              </w:rPr>
              <w:t xml:space="preserve"> is FR1” cannot be applied</w:t>
            </w:r>
            <w:r w:rsidRPr="002502EA">
              <w:t>.</w:t>
            </w:r>
          </w:p>
          <w:p w14:paraId="2F3936A0" w14:textId="77777777" w:rsidR="002502EA" w:rsidRPr="002502EA" w:rsidRDefault="002502EA" w:rsidP="002502EA">
            <w:pPr>
              <w:numPr>
                <w:ilvl w:val="3"/>
                <w:numId w:val="13"/>
              </w:numPr>
              <w:spacing w:after="160" w:line="259" w:lineRule="auto"/>
            </w:pPr>
            <w:r w:rsidRPr="002502EA">
              <w:rPr>
                <w:lang w:val="en-GB"/>
              </w:rPr>
              <w:t xml:space="preserve">The </w:t>
            </w:r>
            <w:proofErr w:type="spellStart"/>
            <w:r w:rsidRPr="002502EA">
              <w:rPr>
                <w:lang w:val="en-GB"/>
              </w:rPr>
              <w:t>SCell</w:t>
            </w:r>
            <w:proofErr w:type="spellEnd"/>
            <w:r w:rsidRPr="002502EA">
              <w:rPr>
                <w:lang w:val="en-GB"/>
              </w:rPr>
              <w:t xml:space="preserve"> activation delay for case 2 can be studied from the following aspects:</w:t>
            </w:r>
          </w:p>
          <w:p w14:paraId="40F16FF1" w14:textId="77777777" w:rsidR="002502EA" w:rsidRPr="002502EA" w:rsidRDefault="002502EA" w:rsidP="002502EA">
            <w:pPr>
              <w:numPr>
                <w:ilvl w:val="4"/>
                <w:numId w:val="13"/>
              </w:numPr>
              <w:spacing w:after="160" w:line="259" w:lineRule="auto"/>
            </w:pPr>
            <w:r w:rsidRPr="002502EA">
              <w:rPr>
                <w:lang w:val="en-GB"/>
              </w:rPr>
              <w:t>Whether AGC settling time need to be included.</w:t>
            </w:r>
          </w:p>
          <w:p w14:paraId="096045E6" w14:textId="77777777" w:rsidR="002502EA" w:rsidRPr="002502EA" w:rsidRDefault="002502EA" w:rsidP="002502EA">
            <w:pPr>
              <w:numPr>
                <w:ilvl w:val="4"/>
                <w:numId w:val="13"/>
              </w:numPr>
              <w:spacing w:after="160" w:line="259" w:lineRule="auto"/>
            </w:pPr>
            <w:r w:rsidRPr="002502EA">
              <w:rPr>
                <w:lang w:val="en-GB"/>
              </w:rPr>
              <w:t>Whether cell search time need to be included.</w:t>
            </w:r>
          </w:p>
          <w:p w14:paraId="6B64EA8C" w14:textId="6F120D40" w:rsidR="002502EA" w:rsidRPr="003B432D" w:rsidRDefault="002502EA" w:rsidP="002502EA">
            <w:pPr>
              <w:numPr>
                <w:ilvl w:val="4"/>
                <w:numId w:val="13"/>
              </w:numPr>
              <w:spacing w:after="160" w:line="259" w:lineRule="auto"/>
            </w:pPr>
            <w:r w:rsidRPr="002502EA">
              <w:rPr>
                <w:lang w:val="en-GB"/>
              </w:rPr>
              <w:t>Whether fine timing tracking delay need to be included.</w:t>
            </w:r>
          </w:p>
        </w:tc>
      </w:tr>
    </w:tbl>
    <w:p w14:paraId="3E30F729" w14:textId="2BBD7207" w:rsidR="002502EA" w:rsidRDefault="002502EA" w:rsidP="002502EA"/>
    <w:p w14:paraId="1DCC3BB4" w14:textId="41EE466A" w:rsidR="003B4E36" w:rsidRDefault="003B4E36" w:rsidP="002502EA">
      <w:r>
        <w:t xml:space="preserve">The </w:t>
      </w:r>
      <w:proofErr w:type="spellStart"/>
      <w:r>
        <w:t>SCell</w:t>
      </w:r>
      <w:proofErr w:type="spellEnd"/>
      <w:r>
        <w:t xml:space="preserve"> activation delay for case 2 with common beam will primarily depend on the requirements for the bands for which UE uses a common beam. If UE can assume intra-band requirements for these bands in terms of co-location, spatial filter and MRTD/MTTD and power imbalance, then UE will not </w:t>
      </w:r>
      <w:r>
        <w:lastRenderedPageBreak/>
        <w:t xml:space="preserve">need AGC setting time, cell search time and fine timing tracking delay. Hence, RAN4 should first finalize the requirements for FR2 inter-bands with common beam and then revisit this </w:t>
      </w:r>
      <w:proofErr w:type="spellStart"/>
      <w:r>
        <w:t>SCell</w:t>
      </w:r>
      <w:proofErr w:type="spellEnd"/>
      <w:r>
        <w:t xml:space="preserve"> activation delay issue in the next meeting.</w:t>
      </w:r>
    </w:p>
    <w:p w14:paraId="6D102314" w14:textId="5A949DCE" w:rsidR="003B4E36" w:rsidRPr="007A006A" w:rsidRDefault="003B4E36" w:rsidP="002502EA">
      <w:r w:rsidRPr="007A006A">
        <w:rPr>
          <w:b/>
          <w:bCs/>
        </w:rPr>
        <w:t xml:space="preserve">Proposal 6: </w:t>
      </w:r>
      <w:r w:rsidRPr="007A006A">
        <w:t xml:space="preserve">RAN4 should first define requirements for bands in which the UE can use a common beam and then discuss </w:t>
      </w:r>
      <w:proofErr w:type="spellStart"/>
      <w:r w:rsidRPr="007A006A">
        <w:t>SCell</w:t>
      </w:r>
      <w:proofErr w:type="spellEnd"/>
      <w:r w:rsidRPr="007A006A">
        <w:t xml:space="preserve"> activation delay for case 2.</w:t>
      </w:r>
    </w:p>
    <w:p w14:paraId="59936649" w14:textId="77777777" w:rsidR="002502EA" w:rsidRPr="002502EA" w:rsidRDefault="002502EA" w:rsidP="002502EA"/>
    <w:p w14:paraId="4309BC64" w14:textId="5C92F402" w:rsidR="00213912" w:rsidRDefault="00213912" w:rsidP="00213912">
      <w:pPr>
        <w:pStyle w:val="Heading2"/>
      </w:pPr>
      <w:r>
        <w:t xml:space="preserve">Independent Beams </w:t>
      </w:r>
    </w:p>
    <w:p w14:paraId="678D2144" w14:textId="77777777" w:rsidR="00213912" w:rsidRDefault="00213912" w:rsidP="00213912">
      <w:r>
        <w:t xml:space="preserve">For a UE that is using independent beams across two bands, most of the Rel-15 requirements would be directly applicable. In this sub-section, we go over the requisite requirements one at a time. </w:t>
      </w:r>
    </w:p>
    <w:p w14:paraId="21D4A27A" w14:textId="3FC0708E" w:rsidR="00213912" w:rsidRDefault="00213912" w:rsidP="00213912">
      <w:pPr>
        <w:pStyle w:val="Heading3"/>
      </w:pPr>
      <w:r>
        <w:t>Scheduling restrictions</w:t>
      </w:r>
    </w:p>
    <w:p w14:paraId="18869D98" w14:textId="77777777" w:rsidR="002E5881" w:rsidRDefault="002E5881" w:rsidP="002E5881"/>
    <w:p w14:paraId="709FCB36" w14:textId="1CBCF819" w:rsidR="002E5881" w:rsidRDefault="002E5881" w:rsidP="002E5881">
      <w:r>
        <w:t>RAN4 made the following relevant agreement during the last meeting [2]</w:t>
      </w:r>
    </w:p>
    <w:tbl>
      <w:tblPr>
        <w:tblStyle w:val="TableGrid"/>
        <w:tblW w:w="0" w:type="auto"/>
        <w:tblLook w:val="04A0" w:firstRow="1" w:lastRow="0" w:firstColumn="1" w:lastColumn="0" w:noHBand="0" w:noVBand="1"/>
      </w:tblPr>
      <w:tblGrid>
        <w:gridCol w:w="9350"/>
      </w:tblGrid>
      <w:tr w:rsidR="002E5881" w:rsidRPr="00CC1587" w14:paraId="607DC5F2" w14:textId="77777777" w:rsidTr="00DA72F3">
        <w:tc>
          <w:tcPr>
            <w:tcW w:w="9350" w:type="dxa"/>
          </w:tcPr>
          <w:p w14:paraId="59EF3100" w14:textId="77777777" w:rsidR="002E5881" w:rsidRPr="002E5881" w:rsidRDefault="002E5881" w:rsidP="002E5881">
            <w:pPr>
              <w:numPr>
                <w:ilvl w:val="0"/>
                <w:numId w:val="5"/>
              </w:numPr>
              <w:spacing w:after="180"/>
              <w:jc w:val="both"/>
              <w:rPr>
                <w:color w:val="000000" w:themeColor="text1"/>
                <w:szCs w:val="24"/>
                <w:lang w:eastAsia="zh-CN"/>
              </w:rPr>
            </w:pPr>
            <w:r w:rsidRPr="002E5881">
              <w:rPr>
                <w:color w:val="000000" w:themeColor="text1"/>
                <w:szCs w:val="24"/>
                <w:lang w:eastAsia="zh-CN"/>
              </w:rPr>
              <w:t xml:space="preserve">Scheduling restriction requirements for FR2 inter-band CA </w:t>
            </w:r>
            <w:r w:rsidRPr="002E5881">
              <w:rPr>
                <w:color w:val="000000" w:themeColor="text1"/>
                <w:szCs w:val="24"/>
                <w:lang w:val="en-GB" w:eastAsia="zh-CN"/>
              </w:rPr>
              <w:t xml:space="preserve">combination </w:t>
            </w:r>
            <w:r w:rsidRPr="002E5881">
              <w:rPr>
                <w:color w:val="000000" w:themeColor="text1"/>
                <w:szCs w:val="24"/>
                <w:lang w:eastAsia="zh-CN"/>
              </w:rPr>
              <w:t>with independent beam</w:t>
            </w:r>
          </w:p>
          <w:p w14:paraId="4837B1DA" w14:textId="77777777" w:rsidR="002E5881" w:rsidRPr="002E5881" w:rsidRDefault="002E5881" w:rsidP="002E5881">
            <w:pPr>
              <w:numPr>
                <w:ilvl w:val="1"/>
                <w:numId w:val="5"/>
              </w:numPr>
              <w:spacing w:after="180"/>
              <w:jc w:val="both"/>
              <w:rPr>
                <w:color w:val="000000" w:themeColor="text1"/>
                <w:szCs w:val="24"/>
                <w:lang w:eastAsia="zh-CN"/>
              </w:rPr>
            </w:pPr>
            <w:r w:rsidRPr="002E5881">
              <w:rPr>
                <w:color w:val="000000" w:themeColor="text1"/>
                <w:szCs w:val="24"/>
                <w:lang w:val="en-GB" w:eastAsia="zh-CN"/>
              </w:rPr>
              <w:t>Option 1:</w:t>
            </w:r>
          </w:p>
          <w:p w14:paraId="1BAEE4C5" w14:textId="77777777" w:rsidR="002E5881" w:rsidRPr="002E5881" w:rsidRDefault="002E5881" w:rsidP="002E5881">
            <w:pPr>
              <w:numPr>
                <w:ilvl w:val="2"/>
                <w:numId w:val="5"/>
              </w:numPr>
              <w:spacing w:after="180"/>
              <w:jc w:val="both"/>
              <w:rPr>
                <w:color w:val="000000" w:themeColor="text1"/>
                <w:szCs w:val="24"/>
                <w:lang w:eastAsia="zh-CN"/>
              </w:rPr>
            </w:pPr>
            <w:r w:rsidRPr="002E5881">
              <w:rPr>
                <w:color w:val="000000" w:themeColor="text1"/>
                <w:szCs w:val="24"/>
                <w:lang w:val="en-GB" w:eastAsia="zh-CN"/>
              </w:rPr>
              <w:t xml:space="preserve">There are no </w:t>
            </w:r>
            <w:r w:rsidRPr="002E5881">
              <w:rPr>
                <w:color w:val="000000" w:themeColor="text1"/>
                <w:szCs w:val="24"/>
                <w:lang w:eastAsia="zh-CN"/>
              </w:rPr>
              <w:t xml:space="preserve">scheduling </w:t>
            </w:r>
            <w:r w:rsidRPr="002E5881">
              <w:rPr>
                <w:color w:val="000000" w:themeColor="text1"/>
                <w:szCs w:val="24"/>
                <w:lang w:val="en-GB" w:eastAsia="zh-CN"/>
              </w:rPr>
              <w:t xml:space="preserve">restrictions on one FR2 band due to RLM/BFD/CBD/L1-RSRP measurements </w:t>
            </w:r>
            <w:r w:rsidRPr="002E5881">
              <w:rPr>
                <w:color w:val="000000" w:themeColor="text1"/>
                <w:szCs w:val="24"/>
                <w:lang w:eastAsia="zh-CN"/>
              </w:rPr>
              <w:t xml:space="preserve">being performed </w:t>
            </w:r>
            <w:r w:rsidRPr="002E5881">
              <w:rPr>
                <w:color w:val="000000" w:themeColor="text1"/>
                <w:szCs w:val="24"/>
                <w:lang w:val="en-GB" w:eastAsia="zh-CN"/>
              </w:rPr>
              <w:t>on another FR2 band.</w:t>
            </w:r>
          </w:p>
          <w:p w14:paraId="1F8B149D" w14:textId="77777777" w:rsidR="002E5881" w:rsidRPr="002E5881" w:rsidRDefault="002E5881" w:rsidP="002E5881">
            <w:pPr>
              <w:numPr>
                <w:ilvl w:val="2"/>
                <w:numId w:val="5"/>
              </w:numPr>
              <w:spacing w:after="180"/>
              <w:jc w:val="both"/>
              <w:rPr>
                <w:color w:val="000000" w:themeColor="text1"/>
                <w:szCs w:val="24"/>
                <w:lang w:eastAsia="zh-CN"/>
              </w:rPr>
            </w:pPr>
            <w:r w:rsidRPr="002E5881">
              <w:rPr>
                <w:color w:val="000000" w:themeColor="text1"/>
                <w:szCs w:val="24"/>
                <w:lang w:val="en-GB" w:eastAsia="zh-CN"/>
              </w:rPr>
              <w:t xml:space="preserve">The </w:t>
            </w:r>
            <w:r w:rsidRPr="002E5881">
              <w:rPr>
                <w:color w:val="000000" w:themeColor="text1"/>
                <w:szCs w:val="24"/>
                <w:lang w:eastAsia="zh-CN"/>
              </w:rPr>
              <w:t xml:space="preserve">scheduling </w:t>
            </w:r>
            <w:r w:rsidRPr="002E5881">
              <w:rPr>
                <w:color w:val="000000" w:themeColor="text1"/>
                <w:szCs w:val="24"/>
                <w:lang w:val="en-GB" w:eastAsia="zh-CN"/>
              </w:rPr>
              <w:t>availability requirements for FR2 inter-band CA scenario shall be introduced to clarify there is no scheduling restriction if UE uses independent beam.</w:t>
            </w:r>
          </w:p>
          <w:p w14:paraId="35A2839B" w14:textId="77777777" w:rsidR="002E5881" w:rsidRPr="002E5881" w:rsidRDefault="002E5881" w:rsidP="002E5881">
            <w:pPr>
              <w:numPr>
                <w:ilvl w:val="1"/>
                <w:numId w:val="5"/>
              </w:numPr>
              <w:spacing w:after="180"/>
              <w:jc w:val="both"/>
              <w:rPr>
                <w:color w:val="000000" w:themeColor="text1"/>
                <w:szCs w:val="24"/>
                <w:lang w:eastAsia="zh-CN"/>
              </w:rPr>
            </w:pPr>
            <w:r w:rsidRPr="002E5881">
              <w:rPr>
                <w:color w:val="000000" w:themeColor="text1"/>
                <w:szCs w:val="24"/>
                <w:lang w:val="en-GB" w:eastAsia="zh-CN"/>
              </w:rPr>
              <w:t>Option 2:</w:t>
            </w:r>
          </w:p>
          <w:p w14:paraId="0C7E332C" w14:textId="11F8E9ED" w:rsidR="002E5881" w:rsidRPr="002E5881" w:rsidRDefault="002E5881" w:rsidP="002E5881">
            <w:pPr>
              <w:numPr>
                <w:ilvl w:val="2"/>
                <w:numId w:val="5"/>
              </w:numPr>
              <w:spacing w:after="180"/>
              <w:jc w:val="both"/>
              <w:rPr>
                <w:color w:val="000000" w:themeColor="text1"/>
                <w:szCs w:val="24"/>
                <w:lang w:eastAsia="zh-CN"/>
              </w:rPr>
            </w:pPr>
            <w:r w:rsidRPr="002E5881">
              <w:rPr>
                <w:color w:val="000000" w:themeColor="text1"/>
                <w:szCs w:val="24"/>
                <w:lang w:val="en-GB" w:eastAsia="zh-CN"/>
              </w:rPr>
              <w:t>No scheduling restriction from UE RX beam perspective, but further discussion is needed from the perspective of different numerologies and collision between UL and DL transmission.</w:t>
            </w:r>
          </w:p>
        </w:tc>
      </w:tr>
    </w:tbl>
    <w:p w14:paraId="37EB9684" w14:textId="7F5880C5" w:rsidR="002E5881" w:rsidRDefault="002E5881" w:rsidP="002E5881"/>
    <w:p w14:paraId="7596E5FA" w14:textId="79833693" w:rsidR="003B4E36" w:rsidRDefault="003B4E36" w:rsidP="002E5881">
      <w:r>
        <w:t xml:space="preserve">UE should be able to transmit and receive simultaneously </w:t>
      </w:r>
      <w:r w:rsidR="007A006A">
        <w:t>in two different FR2 bands if it is using independent beams. So, option 1 of previous meeting’s agreement can be supported.</w:t>
      </w:r>
    </w:p>
    <w:p w14:paraId="3FD52B27" w14:textId="389A7633" w:rsidR="005930B3" w:rsidRPr="005930B3" w:rsidRDefault="005930B3" w:rsidP="005930B3">
      <w:pPr>
        <w:spacing w:after="180"/>
        <w:jc w:val="both"/>
        <w:rPr>
          <w:color w:val="000000" w:themeColor="text1"/>
          <w:szCs w:val="24"/>
          <w:lang w:eastAsia="zh-CN"/>
        </w:rPr>
      </w:pPr>
      <w:r w:rsidRPr="005930B3">
        <w:rPr>
          <w:b/>
          <w:bCs/>
        </w:rPr>
        <w:t>Proposal</w:t>
      </w:r>
      <w:r w:rsidR="007A006A">
        <w:rPr>
          <w:b/>
          <w:bCs/>
        </w:rPr>
        <w:t xml:space="preserve"> 7</w:t>
      </w:r>
      <w:r w:rsidRPr="005930B3">
        <w:rPr>
          <w:b/>
          <w:bCs/>
        </w:rPr>
        <w:t xml:space="preserve">: </w:t>
      </w:r>
      <w:r w:rsidRPr="005930B3">
        <w:rPr>
          <w:color w:val="000000" w:themeColor="text1"/>
          <w:szCs w:val="24"/>
          <w:lang w:eastAsia="zh-CN"/>
        </w:rPr>
        <w:t>F</w:t>
      </w:r>
      <w:r w:rsidRPr="002E5881">
        <w:rPr>
          <w:color w:val="000000" w:themeColor="text1"/>
          <w:szCs w:val="24"/>
          <w:lang w:eastAsia="zh-CN"/>
        </w:rPr>
        <w:t xml:space="preserve">or FR2 inter-band CA </w:t>
      </w:r>
      <w:r w:rsidRPr="002E5881">
        <w:rPr>
          <w:color w:val="000000" w:themeColor="text1"/>
          <w:szCs w:val="24"/>
          <w:lang w:val="en-GB" w:eastAsia="zh-CN"/>
        </w:rPr>
        <w:t xml:space="preserve">combination </w:t>
      </w:r>
      <w:r w:rsidRPr="002E5881">
        <w:rPr>
          <w:color w:val="000000" w:themeColor="text1"/>
          <w:szCs w:val="24"/>
          <w:lang w:eastAsia="zh-CN"/>
        </w:rPr>
        <w:t>with independent beam</w:t>
      </w:r>
      <w:r w:rsidRPr="005930B3">
        <w:rPr>
          <w:color w:val="000000" w:themeColor="text1"/>
          <w:szCs w:val="24"/>
          <w:lang w:eastAsia="zh-CN"/>
        </w:rPr>
        <w:t>,</w:t>
      </w:r>
    </w:p>
    <w:p w14:paraId="1E8522C0" w14:textId="77777777" w:rsidR="002E5881" w:rsidRPr="002E5881" w:rsidRDefault="002E5881" w:rsidP="007A006A">
      <w:pPr>
        <w:numPr>
          <w:ilvl w:val="2"/>
          <w:numId w:val="5"/>
        </w:numPr>
        <w:spacing w:after="180" w:line="240" w:lineRule="auto"/>
        <w:jc w:val="both"/>
        <w:rPr>
          <w:color w:val="000000" w:themeColor="text1"/>
          <w:szCs w:val="24"/>
          <w:lang w:eastAsia="zh-CN"/>
        </w:rPr>
      </w:pPr>
      <w:r w:rsidRPr="002E5881">
        <w:rPr>
          <w:color w:val="000000" w:themeColor="text1"/>
          <w:szCs w:val="24"/>
          <w:lang w:val="en-GB" w:eastAsia="zh-CN"/>
        </w:rPr>
        <w:t xml:space="preserve">There are no </w:t>
      </w:r>
      <w:r w:rsidRPr="002E5881">
        <w:rPr>
          <w:color w:val="000000" w:themeColor="text1"/>
          <w:szCs w:val="24"/>
          <w:lang w:eastAsia="zh-CN"/>
        </w:rPr>
        <w:t xml:space="preserve">scheduling </w:t>
      </w:r>
      <w:r w:rsidRPr="002E5881">
        <w:rPr>
          <w:color w:val="000000" w:themeColor="text1"/>
          <w:szCs w:val="24"/>
          <w:lang w:val="en-GB" w:eastAsia="zh-CN"/>
        </w:rPr>
        <w:t xml:space="preserve">restrictions on one FR2 band due to RLM/BFD/CBD/L1-RSRP measurements </w:t>
      </w:r>
      <w:r w:rsidRPr="002E5881">
        <w:rPr>
          <w:color w:val="000000" w:themeColor="text1"/>
          <w:szCs w:val="24"/>
          <w:lang w:eastAsia="zh-CN"/>
        </w:rPr>
        <w:t xml:space="preserve">being performed </w:t>
      </w:r>
      <w:r w:rsidRPr="002E5881">
        <w:rPr>
          <w:color w:val="000000" w:themeColor="text1"/>
          <w:szCs w:val="24"/>
          <w:lang w:val="en-GB" w:eastAsia="zh-CN"/>
        </w:rPr>
        <w:t>on another FR2 band.</w:t>
      </w:r>
    </w:p>
    <w:p w14:paraId="314157A5" w14:textId="7BE5A7B0" w:rsidR="005930B3" w:rsidRPr="007A006A" w:rsidRDefault="002E5881" w:rsidP="002E5881">
      <w:pPr>
        <w:numPr>
          <w:ilvl w:val="2"/>
          <w:numId w:val="5"/>
        </w:numPr>
        <w:spacing w:after="180" w:line="240" w:lineRule="auto"/>
        <w:jc w:val="both"/>
        <w:rPr>
          <w:color w:val="000000" w:themeColor="text1"/>
          <w:szCs w:val="24"/>
          <w:lang w:eastAsia="zh-CN"/>
        </w:rPr>
      </w:pPr>
      <w:r w:rsidRPr="002E5881">
        <w:rPr>
          <w:color w:val="000000" w:themeColor="text1"/>
          <w:szCs w:val="24"/>
          <w:lang w:val="en-GB" w:eastAsia="zh-CN"/>
        </w:rPr>
        <w:t xml:space="preserve">The </w:t>
      </w:r>
      <w:r w:rsidRPr="002E5881">
        <w:rPr>
          <w:color w:val="000000" w:themeColor="text1"/>
          <w:szCs w:val="24"/>
          <w:lang w:eastAsia="zh-CN"/>
        </w:rPr>
        <w:t xml:space="preserve">scheduling </w:t>
      </w:r>
      <w:r w:rsidRPr="002E5881">
        <w:rPr>
          <w:color w:val="000000" w:themeColor="text1"/>
          <w:szCs w:val="24"/>
          <w:lang w:val="en-GB" w:eastAsia="zh-CN"/>
        </w:rPr>
        <w:t>availability requirements for FR2 inter-band CA scenario shall be introduced to clarify there is no scheduling restriction if UE uses independent beam.</w:t>
      </w:r>
    </w:p>
    <w:p w14:paraId="29A1AFE6" w14:textId="345EF2A4" w:rsidR="00213912" w:rsidRDefault="00213912" w:rsidP="00213912">
      <w:pPr>
        <w:pStyle w:val="Heading1"/>
      </w:pPr>
      <w:r>
        <w:lastRenderedPageBreak/>
        <w:t xml:space="preserve">Conclusions </w:t>
      </w:r>
    </w:p>
    <w:p w14:paraId="3A516DE8" w14:textId="77777777" w:rsidR="007A006A" w:rsidRDefault="007A006A" w:rsidP="007A006A">
      <w:r w:rsidRPr="00863432">
        <w:rPr>
          <w:b/>
          <w:bCs/>
        </w:rPr>
        <w:t>Observation 1:</w:t>
      </w:r>
      <w:r>
        <w:t xml:space="preserve"> If UE uses same RF chain to operate in FR2 inter-band CA with common beam management (CBM), the existing interruption requirements of intra-band CA will be needed for the UE.</w:t>
      </w:r>
    </w:p>
    <w:p w14:paraId="5BBB44F6" w14:textId="4359BE8D" w:rsidR="007A006A" w:rsidRPr="007A006A" w:rsidRDefault="007A006A" w:rsidP="007A006A">
      <w:r w:rsidRPr="00863432">
        <w:rPr>
          <w:b/>
          <w:bCs/>
        </w:rPr>
        <w:t>Observation 2:</w:t>
      </w:r>
      <w:r>
        <w:t xml:space="preserve"> Whether UE uses same or different RF chains to operate in FR2 inter-band CA with common beams will be up to UE implementation. The requirements should be defined so that UE can satisfy the requirements with both implementations.</w:t>
      </w:r>
    </w:p>
    <w:p w14:paraId="71A58752" w14:textId="6DACB118" w:rsidR="007A006A" w:rsidRDefault="007A006A" w:rsidP="007A006A">
      <w:r w:rsidRPr="000759A1">
        <w:rPr>
          <w:b/>
          <w:bCs/>
        </w:rPr>
        <w:t>Proposal 1</w:t>
      </w:r>
      <w:r>
        <w:t xml:space="preserve">: RAN4 to define requirements for bands in which the UE can use a common beam. These requirements need to be defined for co-location, spatial filter, MRTD/MTTD and power imbalance. RAN4 to use intra-band requirements as baseline. </w:t>
      </w:r>
    </w:p>
    <w:p w14:paraId="1512E45A" w14:textId="38DC5050" w:rsidR="00733D39" w:rsidRDefault="00733D39" w:rsidP="00733D39">
      <w:pPr>
        <w:pStyle w:val="ListParagraph"/>
        <w:numPr>
          <w:ilvl w:val="0"/>
          <w:numId w:val="11"/>
        </w:numPr>
      </w:pPr>
      <w:r>
        <w:t>MRTD/MTTD requirements can be defined in thread #12</w:t>
      </w:r>
      <w:r w:rsidR="00EA26B4">
        <w:t>1</w:t>
      </w:r>
      <w:r>
        <w:t xml:space="preserve">. </w:t>
      </w:r>
    </w:p>
    <w:p w14:paraId="0DFEBFBB" w14:textId="77777777" w:rsidR="007A006A" w:rsidRPr="006B1645" w:rsidRDefault="007A006A" w:rsidP="007A006A">
      <w:r w:rsidRPr="00863432">
        <w:rPr>
          <w:b/>
          <w:bCs/>
        </w:rPr>
        <w:t>Proposal 2:</w:t>
      </w:r>
      <w:r>
        <w:t xml:space="preserve"> </w:t>
      </w:r>
      <w:r w:rsidRPr="000B703D">
        <w:rPr>
          <w:color w:val="000000" w:themeColor="text1"/>
          <w:szCs w:val="24"/>
          <w:lang w:val="en-GB" w:eastAsia="zh-CN"/>
        </w:rPr>
        <w:t>For a FR2 inter-band CA combination with using common beam management</w:t>
      </w:r>
      <w:r>
        <w:rPr>
          <w:color w:val="000000" w:themeColor="text1"/>
          <w:szCs w:val="24"/>
          <w:lang w:val="en-GB" w:eastAsia="zh-CN"/>
        </w:rPr>
        <w:t xml:space="preserve">, </w:t>
      </w:r>
      <w:r w:rsidR="000B703D" w:rsidRPr="000B703D">
        <w:rPr>
          <w:color w:val="000000" w:themeColor="text1"/>
          <w:szCs w:val="24"/>
          <w:lang w:eastAsia="zh-CN"/>
        </w:rPr>
        <w:t>the existing</w:t>
      </w:r>
      <w:r w:rsidR="000B703D" w:rsidRPr="000B703D">
        <w:rPr>
          <w:color w:val="000000" w:themeColor="text1"/>
          <w:szCs w:val="24"/>
          <w:lang w:val="en-GB" w:eastAsia="zh-CN"/>
        </w:rPr>
        <w:t xml:space="preserve"> interruption requirements of intra-band CA can be applied.</w:t>
      </w:r>
    </w:p>
    <w:p w14:paraId="26DE89B4" w14:textId="3270CACC" w:rsidR="007A006A" w:rsidRPr="00EE3206" w:rsidRDefault="007A006A" w:rsidP="007A006A">
      <w:pPr>
        <w:rPr>
          <w:rFonts w:cstheme="minorHAnsi"/>
        </w:rPr>
      </w:pPr>
      <w:r w:rsidRPr="00EE3206">
        <w:rPr>
          <w:b/>
          <w:bCs/>
        </w:rPr>
        <w:t xml:space="preserve">Proposal 3: </w:t>
      </w:r>
      <w:r w:rsidRPr="00EE3206">
        <w:rPr>
          <w:rFonts w:cstheme="minorHAnsi"/>
        </w:rPr>
        <w:t>Define an active “BFD band group”</w:t>
      </w:r>
      <w:proofErr w:type="gramStart"/>
      <w:r>
        <w:rPr>
          <w:rFonts w:cstheme="minorHAnsi"/>
        </w:rPr>
        <w:t>/”CBD</w:t>
      </w:r>
      <w:proofErr w:type="gramEnd"/>
      <w:r>
        <w:rPr>
          <w:rFonts w:cstheme="minorHAnsi"/>
        </w:rPr>
        <w:t xml:space="preserve"> band group”</w:t>
      </w:r>
      <w:r w:rsidRPr="00EE3206">
        <w:rPr>
          <w:rFonts w:cstheme="minorHAnsi"/>
        </w:rPr>
        <w:t xml:space="preserve"> as a set of active bands whose BFD-RS</w:t>
      </w:r>
      <w:r>
        <w:rPr>
          <w:rFonts w:cstheme="minorHAnsi"/>
        </w:rPr>
        <w:t>/CBD-RS</w:t>
      </w:r>
      <w:r w:rsidRPr="00EE3206">
        <w:rPr>
          <w:rFonts w:cstheme="minorHAnsi"/>
        </w:rPr>
        <w:t xml:space="preserve"> can be received by the UE through a common beam</w:t>
      </w:r>
    </w:p>
    <w:p w14:paraId="425595FB" w14:textId="77777777" w:rsidR="007A006A" w:rsidRPr="00EE3206" w:rsidRDefault="007A006A" w:rsidP="007A006A">
      <w:pPr>
        <w:pStyle w:val="ListParagraph"/>
        <w:numPr>
          <w:ilvl w:val="0"/>
          <w:numId w:val="11"/>
        </w:numPr>
        <w:spacing w:after="180" w:line="240" w:lineRule="auto"/>
        <w:rPr>
          <w:rFonts w:cstheme="minorHAnsi"/>
        </w:rPr>
      </w:pPr>
      <w:r w:rsidRPr="00EE3206">
        <w:rPr>
          <w:rFonts w:cstheme="minorHAnsi"/>
        </w:rPr>
        <w:t>UE needs to meet BFD-RS</w:t>
      </w:r>
      <w:r>
        <w:rPr>
          <w:rFonts w:cstheme="minorHAnsi"/>
        </w:rPr>
        <w:t>/CBD-RS</w:t>
      </w:r>
      <w:r w:rsidRPr="00EE3206">
        <w:rPr>
          <w:rFonts w:cstheme="minorHAnsi"/>
        </w:rPr>
        <w:t xml:space="preserve"> evaluation requirements for only one active band within the active “BFD band group”</w:t>
      </w:r>
      <w:r>
        <w:rPr>
          <w:rFonts w:cstheme="minorHAnsi"/>
        </w:rPr>
        <w:t>/” CBD band group”</w:t>
      </w:r>
    </w:p>
    <w:p w14:paraId="0CAC48B6" w14:textId="50EB0C4A" w:rsidR="007A006A" w:rsidRPr="00F96EF6" w:rsidRDefault="007A006A" w:rsidP="007A006A">
      <w:pPr>
        <w:rPr>
          <w:rFonts w:cstheme="minorHAnsi"/>
          <w:b/>
          <w:bCs/>
        </w:rPr>
      </w:pPr>
      <w:r w:rsidRPr="00F96EF6">
        <w:rPr>
          <w:rFonts w:cstheme="minorHAnsi"/>
          <w:b/>
          <w:bCs/>
        </w:rPr>
        <w:t xml:space="preserve">Proposal 4: </w:t>
      </w:r>
      <w:r w:rsidRPr="005C4CDF">
        <w:rPr>
          <w:rFonts w:cstheme="minorHAnsi"/>
        </w:rPr>
        <w:t>Scaling factor of BFD-RS/CBD-RS evaluation period during FR2 inter-band CA</w:t>
      </w:r>
      <w:r>
        <w:rPr>
          <w:rFonts w:cstheme="minorHAnsi"/>
        </w:rPr>
        <w:t xml:space="preserve"> with common beam</w:t>
      </w:r>
      <w:r w:rsidRPr="005C4CDF">
        <w:rPr>
          <w:rFonts w:cstheme="minorHAnsi"/>
        </w:rPr>
        <w:t xml:space="preserve"> is equal to the number of active “BFD band groups”/” CBD band groups”.</w:t>
      </w:r>
    </w:p>
    <w:p w14:paraId="682FF66D" w14:textId="77777777" w:rsidR="003B432D" w:rsidRPr="003B432D" w:rsidRDefault="007A006A" w:rsidP="007A006A">
      <w:r w:rsidRPr="002502EA">
        <w:rPr>
          <w:b/>
          <w:bCs/>
        </w:rPr>
        <w:t>Proposal 5:</w:t>
      </w:r>
      <w:r>
        <w:t xml:space="preserve"> F</w:t>
      </w:r>
      <w:r w:rsidRPr="003B432D">
        <w:t xml:space="preserve">or FR2 inter-band CA </w:t>
      </w:r>
      <w:r w:rsidRPr="003B432D">
        <w:rPr>
          <w:lang w:val="en-GB"/>
        </w:rPr>
        <w:t xml:space="preserve">combination </w:t>
      </w:r>
      <w:r w:rsidRPr="003B432D">
        <w:t>with common beam</w:t>
      </w:r>
      <w:r>
        <w:t xml:space="preserve">, </w:t>
      </w:r>
      <w:r>
        <w:rPr>
          <w:lang w:val="en-GB"/>
        </w:rPr>
        <w:t>t</w:t>
      </w:r>
      <w:r w:rsidR="003B432D" w:rsidRPr="003B432D">
        <w:rPr>
          <w:lang w:val="en-GB"/>
        </w:rPr>
        <w:t>he existing measurement restriction requirements for FR2 shall be extended to serving cells in different bands.</w:t>
      </w:r>
    </w:p>
    <w:p w14:paraId="0DFA0532" w14:textId="77777777" w:rsidR="007A006A" w:rsidRPr="007A006A" w:rsidRDefault="007A006A" w:rsidP="007A006A">
      <w:r w:rsidRPr="007A006A">
        <w:rPr>
          <w:b/>
          <w:bCs/>
        </w:rPr>
        <w:t xml:space="preserve">Proposal 6: </w:t>
      </w:r>
      <w:r w:rsidRPr="007A006A">
        <w:t xml:space="preserve">RAN4 should first define requirements for bands in which the UE can use a common beam and then discuss </w:t>
      </w:r>
      <w:proofErr w:type="spellStart"/>
      <w:r w:rsidRPr="007A006A">
        <w:t>SCell</w:t>
      </w:r>
      <w:proofErr w:type="spellEnd"/>
      <w:r w:rsidRPr="007A006A">
        <w:t xml:space="preserve"> activation delay for case 2.</w:t>
      </w:r>
    </w:p>
    <w:p w14:paraId="7D81734A" w14:textId="77777777" w:rsidR="007A006A" w:rsidRPr="005930B3" w:rsidRDefault="007A006A" w:rsidP="007A006A">
      <w:pPr>
        <w:spacing w:after="180"/>
        <w:jc w:val="both"/>
        <w:rPr>
          <w:color w:val="000000" w:themeColor="text1"/>
          <w:szCs w:val="24"/>
          <w:lang w:eastAsia="zh-CN"/>
        </w:rPr>
      </w:pPr>
      <w:r w:rsidRPr="005930B3">
        <w:rPr>
          <w:b/>
          <w:bCs/>
        </w:rPr>
        <w:t>Proposal</w:t>
      </w:r>
      <w:r>
        <w:rPr>
          <w:b/>
          <w:bCs/>
        </w:rPr>
        <w:t xml:space="preserve"> 7</w:t>
      </w:r>
      <w:r w:rsidRPr="005930B3">
        <w:rPr>
          <w:b/>
          <w:bCs/>
        </w:rPr>
        <w:t xml:space="preserve">: </w:t>
      </w:r>
      <w:r w:rsidRPr="005930B3">
        <w:rPr>
          <w:color w:val="000000" w:themeColor="text1"/>
          <w:szCs w:val="24"/>
          <w:lang w:eastAsia="zh-CN"/>
        </w:rPr>
        <w:t>F</w:t>
      </w:r>
      <w:r w:rsidRPr="002E5881">
        <w:rPr>
          <w:color w:val="000000" w:themeColor="text1"/>
          <w:szCs w:val="24"/>
          <w:lang w:eastAsia="zh-CN"/>
        </w:rPr>
        <w:t xml:space="preserve">or FR2 inter-band CA </w:t>
      </w:r>
      <w:r w:rsidRPr="002E5881">
        <w:rPr>
          <w:color w:val="000000" w:themeColor="text1"/>
          <w:szCs w:val="24"/>
          <w:lang w:val="en-GB" w:eastAsia="zh-CN"/>
        </w:rPr>
        <w:t xml:space="preserve">combination </w:t>
      </w:r>
      <w:r w:rsidRPr="002E5881">
        <w:rPr>
          <w:color w:val="000000" w:themeColor="text1"/>
          <w:szCs w:val="24"/>
          <w:lang w:eastAsia="zh-CN"/>
        </w:rPr>
        <w:t>with independent beam</w:t>
      </w:r>
      <w:r w:rsidRPr="005930B3">
        <w:rPr>
          <w:color w:val="000000" w:themeColor="text1"/>
          <w:szCs w:val="24"/>
          <w:lang w:eastAsia="zh-CN"/>
        </w:rPr>
        <w:t>,</w:t>
      </w:r>
    </w:p>
    <w:p w14:paraId="6A30CF52" w14:textId="77777777" w:rsidR="002E5881" w:rsidRPr="002E5881" w:rsidRDefault="002E5881" w:rsidP="007A006A">
      <w:pPr>
        <w:numPr>
          <w:ilvl w:val="2"/>
          <w:numId w:val="5"/>
        </w:numPr>
        <w:spacing w:after="180" w:line="240" w:lineRule="auto"/>
        <w:jc w:val="both"/>
        <w:rPr>
          <w:color w:val="000000" w:themeColor="text1"/>
          <w:szCs w:val="24"/>
          <w:lang w:eastAsia="zh-CN"/>
        </w:rPr>
      </w:pPr>
      <w:r w:rsidRPr="002E5881">
        <w:rPr>
          <w:color w:val="000000" w:themeColor="text1"/>
          <w:szCs w:val="24"/>
          <w:lang w:val="en-GB" w:eastAsia="zh-CN"/>
        </w:rPr>
        <w:t xml:space="preserve">There are no </w:t>
      </w:r>
      <w:r w:rsidRPr="002E5881">
        <w:rPr>
          <w:color w:val="000000" w:themeColor="text1"/>
          <w:szCs w:val="24"/>
          <w:lang w:eastAsia="zh-CN"/>
        </w:rPr>
        <w:t xml:space="preserve">scheduling </w:t>
      </w:r>
      <w:r w:rsidRPr="002E5881">
        <w:rPr>
          <w:color w:val="000000" w:themeColor="text1"/>
          <w:szCs w:val="24"/>
          <w:lang w:val="en-GB" w:eastAsia="zh-CN"/>
        </w:rPr>
        <w:t xml:space="preserve">restrictions on one FR2 band due to RLM/BFD/CBD/L1-RSRP measurements </w:t>
      </w:r>
      <w:r w:rsidRPr="002E5881">
        <w:rPr>
          <w:color w:val="000000" w:themeColor="text1"/>
          <w:szCs w:val="24"/>
          <w:lang w:eastAsia="zh-CN"/>
        </w:rPr>
        <w:t xml:space="preserve">being performed </w:t>
      </w:r>
      <w:r w:rsidRPr="002E5881">
        <w:rPr>
          <w:color w:val="000000" w:themeColor="text1"/>
          <w:szCs w:val="24"/>
          <w:lang w:val="en-GB" w:eastAsia="zh-CN"/>
        </w:rPr>
        <w:t>on another FR2 band.</w:t>
      </w:r>
    </w:p>
    <w:p w14:paraId="27F8BE61" w14:textId="52632030" w:rsidR="007A006A" w:rsidRPr="007A006A" w:rsidRDefault="002E5881" w:rsidP="007A006A">
      <w:pPr>
        <w:numPr>
          <w:ilvl w:val="2"/>
          <w:numId w:val="5"/>
        </w:numPr>
        <w:spacing w:after="180" w:line="240" w:lineRule="auto"/>
        <w:jc w:val="both"/>
        <w:rPr>
          <w:color w:val="000000" w:themeColor="text1"/>
          <w:szCs w:val="24"/>
          <w:lang w:eastAsia="zh-CN"/>
        </w:rPr>
      </w:pPr>
      <w:r w:rsidRPr="002E5881">
        <w:rPr>
          <w:color w:val="000000" w:themeColor="text1"/>
          <w:szCs w:val="24"/>
          <w:lang w:val="en-GB" w:eastAsia="zh-CN"/>
        </w:rPr>
        <w:t xml:space="preserve">The </w:t>
      </w:r>
      <w:r w:rsidRPr="002E5881">
        <w:rPr>
          <w:color w:val="000000" w:themeColor="text1"/>
          <w:szCs w:val="24"/>
          <w:lang w:eastAsia="zh-CN"/>
        </w:rPr>
        <w:t xml:space="preserve">scheduling </w:t>
      </w:r>
      <w:r w:rsidRPr="002E5881">
        <w:rPr>
          <w:color w:val="000000" w:themeColor="text1"/>
          <w:szCs w:val="24"/>
          <w:lang w:val="en-GB" w:eastAsia="zh-CN"/>
        </w:rPr>
        <w:t>availability requirements for FR2 inter-band CA scenario shall be introduced to clarify there is no scheduling restriction if UE uses independent beam.</w:t>
      </w:r>
    </w:p>
    <w:p w14:paraId="76780373" w14:textId="77777777" w:rsidR="00213912" w:rsidRDefault="00213912" w:rsidP="00213912">
      <w:pPr>
        <w:pStyle w:val="Heading1"/>
      </w:pPr>
      <w:r>
        <w:t>References</w:t>
      </w:r>
    </w:p>
    <w:p w14:paraId="75293E4C" w14:textId="77777777" w:rsidR="00213912" w:rsidRDefault="00213912" w:rsidP="00213912">
      <w:r w:rsidRPr="00753C29">
        <w:t xml:space="preserve">[1] </w:t>
      </w:r>
      <w:r w:rsidRPr="00101952">
        <w:t>R4-2002251</w:t>
      </w:r>
      <w:r>
        <w:t>,</w:t>
      </w:r>
      <w:r w:rsidRPr="00753C29">
        <w:t xml:space="preserve"> </w:t>
      </w:r>
      <w:r w:rsidRPr="00101952">
        <w:t>Way forward on FR2 inter-band CA requirement</w:t>
      </w:r>
      <w:r>
        <w:t>.</w:t>
      </w:r>
    </w:p>
    <w:p w14:paraId="41E7B912" w14:textId="165EB922" w:rsidR="0099303E" w:rsidRDefault="00213912">
      <w:r>
        <w:t xml:space="preserve">[2] </w:t>
      </w:r>
      <w:r w:rsidR="000B703D">
        <w:t>R4-2005353, Way forward on FR2 inter-band CA requirement.</w:t>
      </w:r>
    </w:p>
    <w:p w14:paraId="4AF112CF" w14:textId="45AE7DBA" w:rsidR="00EE3206" w:rsidRDefault="00EE3206">
      <w:r>
        <w:t xml:space="preserve">[3] R4-2004800, </w:t>
      </w:r>
      <w:proofErr w:type="spellStart"/>
      <w:r>
        <w:t>SCell</w:t>
      </w:r>
      <w:proofErr w:type="spellEnd"/>
      <w:r>
        <w:t xml:space="preserve"> Beam Failure Detection and Recovery, Qualcomm Incorporated.</w:t>
      </w:r>
    </w:p>
    <w:sectPr w:rsidR="00EE3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156"/>
    <w:multiLevelType w:val="hybridMultilevel"/>
    <w:tmpl w:val="AB8E0B68"/>
    <w:lvl w:ilvl="0" w:tplc="D068DCFC">
      <w:start w:val="1"/>
      <w:numFmt w:val="bullet"/>
      <w:lvlText w:val="•"/>
      <w:lvlJc w:val="left"/>
      <w:pPr>
        <w:tabs>
          <w:tab w:val="num" w:pos="720"/>
        </w:tabs>
        <w:ind w:left="720" w:hanging="360"/>
      </w:pPr>
      <w:rPr>
        <w:rFonts w:ascii="Arial" w:hAnsi="Arial" w:hint="default"/>
      </w:rPr>
    </w:lvl>
    <w:lvl w:ilvl="1" w:tplc="369425E6" w:tentative="1">
      <w:start w:val="1"/>
      <w:numFmt w:val="bullet"/>
      <w:lvlText w:val="•"/>
      <w:lvlJc w:val="left"/>
      <w:pPr>
        <w:tabs>
          <w:tab w:val="num" w:pos="1440"/>
        </w:tabs>
        <w:ind w:left="1440" w:hanging="360"/>
      </w:pPr>
      <w:rPr>
        <w:rFonts w:ascii="Arial" w:hAnsi="Arial" w:hint="default"/>
      </w:rPr>
    </w:lvl>
    <w:lvl w:ilvl="2" w:tplc="4C0E28A6">
      <w:start w:val="1"/>
      <w:numFmt w:val="bullet"/>
      <w:lvlText w:val="•"/>
      <w:lvlJc w:val="left"/>
      <w:pPr>
        <w:tabs>
          <w:tab w:val="num" w:pos="2160"/>
        </w:tabs>
        <w:ind w:left="2160" w:hanging="360"/>
      </w:pPr>
      <w:rPr>
        <w:rFonts w:ascii="Arial" w:hAnsi="Arial" w:hint="default"/>
      </w:rPr>
    </w:lvl>
    <w:lvl w:ilvl="3" w:tplc="CC28BE36">
      <w:start w:val="206"/>
      <w:numFmt w:val="bullet"/>
      <w:lvlText w:val="•"/>
      <w:lvlJc w:val="left"/>
      <w:pPr>
        <w:tabs>
          <w:tab w:val="num" w:pos="2880"/>
        </w:tabs>
        <w:ind w:left="2880" w:hanging="360"/>
      </w:pPr>
      <w:rPr>
        <w:rFonts w:ascii="Arial" w:hAnsi="Arial" w:hint="default"/>
      </w:rPr>
    </w:lvl>
    <w:lvl w:ilvl="4" w:tplc="CE04F634">
      <w:start w:val="206"/>
      <w:numFmt w:val="bullet"/>
      <w:lvlText w:val="•"/>
      <w:lvlJc w:val="left"/>
      <w:pPr>
        <w:tabs>
          <w:tab w:val="num" w:pos="3600"/>
        </w:tabs>
        <w:ind w:left="3600" w:hanging="360"/>
      </w:pPr>
      <w:rPr>
        <w:rFonts w:ascii="Arial" w:hAnsi="Arial" w:hint="default"/>
      </w:rPr>
    </w:lvl>
    <w:lvl w:ilvl="5" w:tplc="E0DCDA1A">
      <w:start w:val="206"/>
      <w:numFmt w:val="bullet"/>
      <w:lvlText w:val="•"/>
      <w:lvlJc w:val="left"/>
      <w:pPr>
        <w:tabs>
          <w:tab w:val="num" w:pos="4320"/>
        </w:tabs>
        <w:ind w:left="4320" w:hanging="360"/>
      </w:pPr>
      <w:rPr>
        <w:rFonts w:ascii="Arial" w:hAnsi="Arial" w:hint="default"/>
      </w:rPr>
    </w:lvl>
    <w:lvl w:ilvl="6" w:tplc="9E92F3E4" w:tentative="1">
      <w:start w:val="1"/>
      <w:numFmt w:val="bullet"/>
      <w:lvlText w:val="•"/>
      <w:lvlJc w:val="left"/>
      <w:pPr>
        <w:tabs>
          <w:tab w:val="num" w:pos="5040"/>
        </w:tabs>
        <w:ind w:left="5040" w:hanging="360"/>
      </w:pPr>
      <w:rPr>
        <w:rFonts w:ascii="Arial" w:hAnsi="Arial" w:hint="default"/>
      </w:rPr>
    </w:lvl>
    <w:lvl w:ilvl="7" w:tplc="26120E96" w:tentative="1">
      <w:start w:val="1"/>
      <w:numFmt w:val="bullet"/>
      <w:lvlText w:val="•"/>
      <w:lvlJc w:val="left"/>
      <w:pPr>
        <w:tabs>
          <w:tab w:val="num" w:pos="5760"/>
        </w:tabs>
        <w:ind w:left="5760" w:hanging="360"/>
      </w:pPr>
      <w:rPr>
        <w:rFonts w:ascii="Arial" w:hAnsi="Arial" w:hint="default"/>
      </w:rPr>
    </w:lvl>
    <w:lvl w:ilvl="8" w:tplc="07023E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413B42"/>
    <w:multiLevelType w:val="hybridMultilevel"/>
    <w:tmpl w:val="3214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6138F4"/>
    <w:multiLevelType w:val="hybridMultilevel"/>
    <w:tmpl w:val="556A4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03C89"/>
    <w:multiLevelType w:val="hybridMultilevel"/>
    <w:tmpl w:val="46989B8A"/>
    <w:lvl w:ilvl="0" w:tplc="93AA61B2">
      <w:start w:val="1"/>
      <w:numFmt w:val="bullet"/>
      <w:lvlText w:val="•"/>
      <w:lvlJc w:val="left"/>
      <w:pPr>
        <w:tabs>
          <w:tab w:val="num" w:pos="720"/>
        </w:tabs>
        <w:ind w:left="720" w:hanging="360"/>
      </w:pPr>
      <w:rPr>
        <w:rFonts w:ascii="Arial" w:hAnsi="Arial" w:hint="default"/>
      </w:rPr>
    </w:lvl>
    <w:lvl w:ilvl="1" w:tplc="43C2CF10" w:tentative="1">
      <w:start w:val="1"/>
      <w:numFmt w:val="bullet"/>
      <w:lvlText w:val="•"/>
      <w:lvlJc w:val="left"/>
      <w:pPr>
        <w:tabs>
          <w:tab w:val="num" w:pos="1440"/>
        </w:tabs>
        <w:ind w:left="1440" w:hanging="360"/>
      </w:pPr>
      <w:rPr>
        <w:rFonts w:ascii="Arial" w:hAnsi="Arial" w:hint="default"/>
      </w:rPr>
    </w:lvl>
    <w:lvl w:ilvl="2" w:tplc="25EC4C42">
      <w:start w:val="1"/>
      <w:numFmt w:val="bullet"/>
      <w:lvlText w:val="•"/>
      <w:lvlJc w:val="left"/>
      <w:pPr>
        <w:tabs>
          <w:tab w:val="num" w:pos="2160"/>
        </w:tabs>
        <w:ind w:left="2160" w:hanging="360"/>
      </w:pPr>
      <w:rPr>
        <w:rFonts w:ascii="Arial" w:hAnsi="Arial" w:hint="default"/>
      </w:rPr>
    </w:lvl>
    <w:lvl w:ilvl="3" w:tplc="E3D27E5A">
      <w:start w:val="206"/>
      <w:numFmt w:val="bullet"/>
      <w:lvlText w:val="•"/>
      <w:lvlJc w:val="left"/>
      <w:pPr>
        <w:tabs>
          <w:tab w:val="num" w:pos="2880"/>
        </w:tabs>
        <w:ind w:left="2880" w:hanging="360"/>
      </w:pPr>
      <w:rPr>
        <w:rFonts w:ascii="Arial" w:hAnsi="Arial" w:hint="default"/>
      </w:rPr>
    </w:lvl>
    <w:lvl w:ilvl="4" w:tplc="AB5A1A0E">
      <w:start w:val="206"/>
      <w:numFmt w:val="bullet"/>
      <w:lvlText w:val="•"/>
      <w:lvlJc w:val="left"/>
      <w:pPr>
        <w:tabs>
          <w:tab w:val="num" w:pos="3600"/>
        </w:tabs>
        <w:ind w:left="3600" w:hanging="360"/>
      </w:pPr>
      <w:rPr>
        <w:rFonts w:ascii="Arial" w:hAnsi="Arial" w:hint="default"/>
      </w:rPr>
    </w:lvl>
    <w:lvl w:ilvl="5" w:tplc="ED0A1D08" w:tentative="1">
      <w:start w:val="1"/>
      <w:numFmt w:val="bullet"/>
      <w:lvlText w:val="•"/>
      <w:lvlJc w:val="left"/>
      <w:pPr>
        <w:tabs>
          <w:tab w:val="num" w:pos="4320"/>
        </w:tabs>
        <w:ind w:left="4320" w:hanging="360"/>
      </w:pPr>
      <w:rPr>
        <w:rFonts w:ascii="Arial" w:hAnsi="Arial" w:hint="default"/>
      </w:rPr>
    </w:lvl>
    <w:lvl w:ilvl="6" w:tplc="459CDC18" w:tentative="1">
      <w:start w:val="1"/>
      <w:numFmt w:val="bullet"/>
      <w:lvlText w:val="•"/>
      <w:lvlJc w:val="left"/>
      <w:pPr>
        <w:tabs>
          <w:tab w:val="num" w:pos="5040"/>
        </w:tabs>
        <w:ind w:left="5040" w:hanging="360"/>
      </w:pPr>
      <w:rPr>
        <w:rFonts w:ascii="Arial" w:hAnsi="Arial" w:hint="default"/>
      </w:rPr>
    </w:lvl>
    <w:lvl w:ilvl="7" w:tplc="327E6C76" w:tentative="1">
      <w:start w:val="1"/>
      <w:numFmt w:val="bullet"/>
      <w:lvlText w:val="•"/>
      <w:lvlJc w:val="left"/>
      <w:pPr>
        <w:tabs>
          <w:tab w:val="num" w:pos="5760"/>
        </w:tabs>
        <w:ind w:left="5760" w:hanging="360"/>
      </w:pPr>
      <w:rPr>
        <w:rFonts w:ascii="Arial" w:hAnsi="Arial" w:hint="default"/>
      </w:rPr>
    </w:lvl>
    <w:lvl w:ilvl="8" w:tplc="4FAE1B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E92347"/>
    <w:multiLevelType w:val="hybridMultilevel"/>
    <w:tmpl w:val="37B0EE36"/>
    <w:lvl w:ilvl="0" w:tplc="430688AC">
      <w:start w:val="1"/>
      <w:numFmt w:val="bullet"/>
      <w:lvlText w:val="–"/>
      <w:lvlJc w:val="left"/>
      <w:pPr>
        <w:tabs>
          <w:tab w:val="num" w:pos="720"/>
        </w:tabs>
        <w:ind w:left="720" w:hanging="360"/>
      </w:pPr>
      <w:rPr>
        <w:rFonts w:ascii="Arial" w:hAnsi="Arial" w:hint="default"/>
      </w:rPr>
    </w:lvl>
    <w:lvl w:ilvl="1" w:tplc="D0FA81EA">
      <w:start w:val="1"/>
      <w:numFmt w:val="bullet"/>
      <w:lvlText w:val="–"/>
      <w:lvlJc w:val="left"/>
      <w:pPr>
        <w:tabs>
          <w:tab w:val="num" w:pos="1440"/>
        </w:tabs>
        <w:ind w:left="1440" w:hanging="360"/>
      </w:pPr>
      <w:rPr>
        <w:rFonts w:ascii="Arial" w:hAnsi="Arial" w:hint="default"/>
      </w:rPr>
    </w:lvl>
    <w:lvl w:ilvl="2" w:tplc="5BDCA420" w:tentative="1">
      <w:start w:val="1"/>
      <w:numFmt w:val="bullet"/>
      <w:lvlText w:val="–"/>
      <w:lvlJc w:val="left"/>
      <w:pPr>
        <w:tabs>
          <w:tab w:val="num" w:pos="2160"/>
        </w:tabs>
        <w:ind w:left="2160" w:hanging="360"/>
      </w:pPr>
      <w:rPr>
        <w:rFonts w:ascii="Arial" w:hAnsi="Arial" w:hint="default"/>
      </w:rPr>
    </w:lvl>
    <w:lvl w:ilvl="3" w:tplc="06309EF4" w:tentative="1">
      <w:start w:val="1"/>
      <w:numFmt w:val="bullet"/>
      <w:lvlText w:val="–"/>
      <w:lvlJc w:val="left"/>
      <w:pPr>
        <w:tabs>
          <w:tab w:val="num" w:pos="2880"/>
        </w:tabs>
        <w:ind w:left="2880" w:hanging="360"/>
      </w:pPr>
      <w:rPr>
        <w:rFonts w:ascii="Arial" w:hAnsi="Arial" w:hint="default"/>
      </w:rPr>
    </w:lvl>
    <w:lvl w:ilvl="4" w:tplc="9244D10C" w:tentative="1">
      <w:start w:val="1"/>
      <w:numFmt w:val="bullet"/>
      <w:lvlText w:val="–"/>
      <w:lvlJc w:val="left"/>
      <w:pPr>
        <w:tabs>
          <w:tab w:val="num" w:pos="3600"/>
        </w:tabs>
        <w:ind w:left="3600" w:hanging="360"/>
      </w:pPr>
      <w:rPr>
        <w:rFonts w:ascii="Arial" w:hAnsi="Arial" w:hint="default"/>
      </w:rPr>
    </w:lvl>
    <w:lvl w:ilvl="5" w:tplc="6A7A21BC" w:tentative="1">
      <w:start w:val="1"/>
      <w:numFmt w:val="bullet"/>
      <w:lvlText w:val="–"/>
      <w:lvlJc w:val="left"/>
      <w:pPr>
        <w:tabs>
          <w:tab w:val="num" w:pos="4320"/>
        </w:tabs>
        <w:ind w:left="4320" w:hanging="360"/>
      </w:pPr>
      <w:rPr>
        <w:rFonts w:ascii="Arial" w:hAnsi="Arial" w:hint="default"/>
      </w:rPr>
    </w:lvl>
    <w:lvl w:ilvl="6" w:tplc="8CC01708" w:tentative="1">
      <w:start w:val="1"/>
      <w:numFmt w:val="bullet"/>
      <w:lvlText w:val="–"/>
      <w:lvlJc w:val="left"/>
      <w:pPr>
        <w:tabs>
          <w:tab w:val="num" w:pos="5040"/>
        </w:tabs>
        <w:ind w:left="5040" w:hanging="360"/>
      </w:pPr>
      <w:rPr>
        <w:rFonts w:ascii="Arial" w:hAnsi="Arial" w:hint="default"/>
      </w:rPr>
    </w:lvl>
    <w:lvl w:ilvl="7" w:tplc="008437CA" w:tentative="1">
      <w:start w:val="1"/>
      <w:numFmt w:val="bullet"/>
      <w:lvlText w:val="–"/>
      <w:lvlJc w:val="left"/>
      <w:pPr>
        <w:tabs>
          <w:tab w:val="num" w:pos="5760"/>
        </w:tabs>
        <w:ind w:left="5760" w:hanging="360"/>
      </w:pPr>
      <w:rPr>
        <w:rFonts w:ascii="Arial" w:hAnsi="Arial" w:hint="default"/>
      </w:rPr>
    </w:lvl>
    <w:lvl w:ilvl="8" w:tplc="8826C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14D2E83"/>
    <w:multiLevelType w:val="hybridMultilevel"/>
    <w:tmpl w:val="96F6DB42"/>
    <w:lvl w:ilvl="0" w:tplc="EAB81DE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874D8D"/>
    <w:multiLevelType w:val="hybridMultilevel"/>
    <w:tmpl w:val="BFC8CFC0"/>
    <w:lvl w:ilvl="0" w:tplc="83F4AE56">
      <w:start w:val="1"/>
      <w:numFmt w:val="bullet"/>
      <w:lvlText w:val="•"/>
      <w:lvlJc w:val="left"/>
      <w:pPr>
        <w:tabs>
          <w:tab w:val="num" w:pos="720"/>
        </w:tabs>
        <w:ind w:left="720" w:hanging="360"/>
      </w:pPr>
      <w:rPr>
        <w:rFonts w:ascii="Arial" w:hAnsi="Arial" w:hint="default"/>
      </w:rPr>
    </w:lvl>
    <w:lvl w:ilvl="1" w:tplc="8B66392A" w:tentative="1">
      <w:start w:val="1"/>
      <w:numFmt w:val="bullet"/>
      <w:lvlText w:val="•"/>
      <w:lvlJc w:val="left"/>
      <w:pPr>
        <w:tabs>
          <w:tab w:val="num" w:pos="1440"/>
        </w:tabs>
        <w:ind w:left="1440" w:hanging="360"/>
      </w:pPr>
      <w:rPr>
        <w:rFonts w:ascii="Arial" w:hAnsi="Arial" w:hint="default"/>
      </w:rPr>
    </w:lvl>
    <w:lvl w:ilvl="2" w:tplc="61463030">
      <w:start w:val="1"/>
      <w:numFmt w:val="bullet"/>
      <w:lvlText w:val="•"/>
      <w:lvlJc w:val="left"/>
      <w:pPr>
        <w:tabs>
          <w:tab w:val="num" w:pos="2160"/>
        </w:tabs>
        <w:ind w:left="2160" w:hanging="360"/>
      </w:pPr>
      <w:rPr>
        <w:rFonts w:ascii="Arial" w:hAnsi="Arial" w:hint="default"/>
      </w:rPr>
    </w:lvl>
    <w:lvl w:ilvl="3" w:tplc="2736B4FE">
      <w:start w:val="206"/>
      <w:numFmt w:val="bullet"/>
      <w:lvlText w:val="•"/>
      <w:lvlJc w:val="left"/>
      <w:pPr>
        <w:tabs>
          <w:tab w:val="num" w:pos="2880"/>
        </w:tabs>
        <w:ind w:left="2880" w:hanging="360"/>
      </w:pPr>
      <w:rPr>
        <w:rFonts w:ascii="Arial" w:hAnsi="Arial" w:hint="default"/>
      </w:rPr>
    </w:lvl>
    <w:lvl w:ilvl="4" w:tplc="FB6E6FCC" w:tentative="1">
      <w:start w:val="1"/>
      <w:numFmt w:val="bullet"/>
      <w:lvlText w:val="•"/>
      <w:lvlJc w:val="left"/>
      <w:pPr>
        <w:tabs>
          <w:tab w:val="num" w:pos="3600"/>
        </w:tabs>
        <w:ind w:left="3600" w:hanging="360"/>
      </w:pPr>
      <w:rPr>
        <w:rFonts w:ascii="Arial" w:hAnsi="Arial" w:hint="default"/>
      </w:rPr>
    </w:lvl>
    <w:lvl w:ilvl="5" w:tplc="3DC6468E" w:tentative="1">
      <w:start w:val="1"/>
      <w:numFmt w:val="bullet"/>
      <w:lvlText w:val="•"/>
      <w:lvlJc w:val="left"/>
      <w:pPr>
        <w:tabs>
          <w:tab w:val="num" w:pos="4320"/>
        </w:tabs>
        <w:ind w:left="4320" w:hanging="360"/>
      </w:pPr>
      <w:rPr>
        <w:rFonts w:ascii="Arial" w:hAnsi="Arial" w:hint="default"/>
      </w:rPr>
    </w:lvl>
    <w:lvl w:ilvl="6" w:tplc="0FCAF3A6" w:tentative="1">
      <w:start w:val="1"/>
      <w:numFmt w:val="bullet"/>
      <w:lvlText w:val="•"/>
      <w:lvlJc w:val="left"/>
      <w:pPr>
        <w:tabs>
          <w:tab w:val="num" w:pos="5040"/>
        </w:tabs>
        <w:ind w:left="5040" w:hanging="360"/>
      </w:pPr>
      <w:rPr>
        <w:rFonts w:ascii="Arial" w:hAnsi="Arial" w:hint="default"/>
      </w:rPr>
    </w:lvl>
    <w:lvl w:ilvl="7" w:tplc="CA8291F4" w:tentative="1">
      <w:start w:val="1"/>
      <w:numFmt w:val="bullet"/>
      <w:lvlText w:val="•"/>
      <w:lvlJc w:val="left"/>
      <w:pPr>
        <w:tabs>
          <w:tab w:val="num" w:pos="5760"/>
        </w:tabs>
        <w:ind w:left="5760" w:hanging="360"/>
      </w:pPr>
      <w:rPr>
        <w:rFonts w:ascii="Arial" w:hAnsi="Arial" w:hint="default"/>
      </w:rPr>
    </w:lvl>
    <w:lvl w:ilvl="8" w:tplc="AC8299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F851E2"/>
    <w:multiLevelType w:val="hybridMultilevel"/>
    <w:tmpl w:val="01E8A2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6FE44C0D"/>
    <w:multiLevelType w:val="hybridMultilevel"/>
    <w:tmpl w:val="A15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D2DBB"/>
    <w:multiLevelType w:val="hybridMultilevel"/>
    <w:tmpl w:val="12F2375A"/>
    <w:lvl w:ilvl="0" w:tplc="F1CEFD6E">
      <w:start w:val="1"/>
      <w:numFmt w:val="bullet"/>
      <w:lvlText w:val="•"/>
      <w:lvlJc w:val="left"/>
      <w:pPr>
        <w:tabs>
          <w:tab w:val="num" w:pos="720"/>
        </w:tabs>
        <w:ind w:left="720" w:hanging="360"/>
      </w:pPr>
      <w:rPr>
        <w:rFonts w:ascii="Arial" w:hAnsi="Arial" w:hint="default"/>
      </w:rPr>
    </w:lvl>
    <w:lvl w:ilvl="1" w:tplc="0F52056A" w:tentative="1">
      <w:start w:val="1"/>
      <w:numFmt w:val="bullet"/>
      <w:lvlText w:val="•"/>
      <w:lvlJc w:val="left"/>
      <w:pPr>
        <w:tabs>
          <w:tab w:val="num" w:pos="1440"/>
        </w:tabs>
        <w:ind w:left="1440" w:hanging="360"/>
      </w:pPr>
      <w:rPr>
        <w:rFonts w:ascii="Arial" w:hAnsi="Arial" w:hint="default"/>
      </w:rPr>
    </w:lvl>
    <w:lvl w:ilvl="2" w:tplc="F5E4AEC4">
      <w:start w:val="1"/>
      <w:numFmt w:val="bullet"/>
      <w:lvlText w:val="•"/>
      <w:lvlJc w:val="left"/>
      <w:pPr>
        <w:tabs>
          <w:tab w:val="num" w:pos="2160"/>
        </w:tabs>
        <w:ind w:left="2160" w:hanging="360"/>
      </w:pPr>
      <w:rPr>
        <w:rFonts w:ascii="Arial" w:hAnsi="Arial" w:hint="default"/>
      </w:rPr>
    </w:lvl>
    <w:lvl w:ilvl="3" w:tplc="2ACA1500">
      <w:start w:val="206"/>
      <w:numFmt w:val="bullet"/>
      <w:lvlText w:val="•"/>
      <w:lvlJc w:val="left"/>
      <w:pPr>
        <w:tabs>
          <w:tab w:val="num" w:pos="2880"/>
        </w:tabs>
        <w:ind w:left="2880" w:hanging="360"/>
      </w:pPr>
      <w:rPr>
        <w:rFonts w:ascii="Arial" w:hAnsi="Arial" w:hint="default"/>
      </w:rPr>
    </w:lvl>
    <w:lvl w:ilvl="4" w:tplc="FFB456D2" w:tentative="1">
      <w:start w:val="1"/>
      <w:numFmt w:val="bullet"/>
      <w:lvlText w:val="•"/>
      <w:lvlJc w:val="left"/>
      <w:pPr>
        <w:tabs>
          <w:tab w:val="num" w:pos="3600"/>
        </w:tabs>
        <w:ind w:left="3600" w:hanging="360"/>
      </w:pPr>
      <w:rPr>
        <w:rFonts w:ascii="Arial" w:hAnsi="Arial" w:hint="default"/>
      </w:rPr>
    </w:lvl>
    <w:lvl w:ilvl="5" w:tplc="0A3028E8" w:tentative="1">
      <w:start w:val="1"/>
      <w:numFmt w:val="bullet"/>
      <w:lvlText w:val="•"/>
      <w:lvlJc w:val="left"/>
      <w:pPr>
        <w:tabs>
          <w:tab w:val="num" w:pos="4320"/>
        </w:tabs>
        <w:ind w:left="4320" w:hanging="360"/>
      </w:pPr>
      <w:rPr>
        <w:rFonts w:ascii="Arial" w:hAnsi="Arial" w:hint="default"/>
      </w:rPr>
    </w:lvl>
    <w:lvl w:ilvl="6" w:tplc="A5C03F04" w:tentative="1">
      <w:start w:val="1"/>
      <w:numFmt w:val="bullet"/>
      <w:lvlText w:val="•"/>
      <w:lvlJc w:val="left"/>
      <w:pPr>
        <w:tabs>
          <w:tab w:val="num" w:pos="5040"/>
        </w:tabs>
        <w:ind w:left="5040" w:hanging="360"/>
      </w:pPr>
      <w:rPr>
        <w:rFonts w:ascii="Arial" w:hAnsi="Arial" w:hint="default"/>
      </w:rPr>
    </w:lvl>
    <w:lvl w:ilvl="7" w:tplc="D3D2C460" w:tentative="1">
      <w:start w:val="1"/>
      <w:numFmt w:val="bullet"/>
      <w:lvlText w:val="•"/>
      <w:lvlJc w:val="left"/>
      <w:pPr>
        <w:tabs>
          <w:tab w:val="num" w:pos="5760"/>
        </w:tabs>
        <w:ind w:left="5760" w:hanging="360"/>
      </w:pPr>
      <w:rPr>
        <w:rFonts w:ascii="Arial" w:hAnsi="Arial" w:hint="default"/>
      </w:rPr>
    </w:lvl>
    <w:lvl w:ilvl="8" w:tplc="0C8225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tentative="1">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7B94548"/>
    <w:multiLevelType w:val="hybridMultilevel"/>
    <w:tmpl w:val="219C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2263C4"/>
    <w:multiLevelType w:val="hybridMultilevel"/>
    <w:tmpl w:val="5B346B40"/>
    <w:lvl w:ilvl="0" w:tplc="DED8C0DE">
      <w:start w:val="1"/>
      <w:numFmt w:val="bullet"/>
      <w:lvlText w:val="•"/>
      <w:lvlJc w:val="left"/>
      <w:pPr>
        <w:tabs>
          <w:tab w:val="num" w:pos="720"/>
        </w:tabs>
        <w:ind w:left="720" w:hanging="360"/>
      </w:pPr>
      <w:rPr>
        <w:rFonts w:ascii="Arial" w:hAnsi="Arial" w:hint="default"/>
      </w:rPr>
    </w:lvl>
    <w:lvl w:ilvl="1" w:tplc="996AFA3A" w:tentative="1">
      <w:start w:val="1"/>
      <w:numFmt w:val="bullet"/>
      <w:lvlText w:val="•"/>
      <w:lvlJc w:val="left"/>
      <w:pPr>
        <w:tabs>
          <w:tab w:val="num" w:pos="1440"/>
        </w:tabs>
        <w:ind w:left="1440" w:hanging="360"/>
      </w:pPr>
      <w:rPr>
        <w:rFonts w:ascii="Arial" w:hAnsi="Arial" w:hint="default"/>
      </w:rPr>
    </w:lvl>
    <w:lvl w:ilvl="2" w:tplc="2C8E912C">
      <w:start w:val="1"/>
      <w:numFmt w:val="bullet"/>
      <w:lvlText w:val="•"/>
      <w:lvlJc w:val="left"/>
      <w:pPr>
        <w:tabs>
          <w:tab w:val="num" w:pos="2160"/>
        </w:tabs>
        <w:ind w:left="2160" w:hanging="360"/>
      </w:pPr>
      <w:rPr>
        <w:rFonts w:ascii="Arial" w:hAnsi="Arial" w:hint="default"/>
      </w:rPr>
    </w:lvl>
    <w:lvl w:ilvl="3" w:tplc="D03C18B4" w:tentative="1">
      <w:start w:val="1"/>
      <w:numFmt w:val="bullet"/>
      <w:lvlText w:val="•"/>
      <w:lvlJc w:val="left"/>
      <w:pPr>
        <w:tabs>
          <w:tab w:val="num" w:pos="2880"/>
        </w:tabs>
        <w:ind w:left="2880" w:hanging="360"/>
      </w:pPr>
      <w:rPr>
        <w:rFonts w:ascii="Arial" w:hAnsi="Arial" w:hint="default"/>
      </w:rPr>
    </w:lvl>
    <w:lvl w:ilvl="4" w:tplc="0A909DE0" w:tentative="1">
      <w:start w:val="1"/>
      <w:numFmt w:val="bullet"/>
      <w:lvlText w:val="•"/>
      <w:lvlJc w:val="left"/>
      <w:pPr>
        <w:tabs>
          <w:tab w:val="num" w:pos="3600"/>
        </w:tabs>
        <w:ind w:left="3600" w:hanging="360"/>
      </w:pPr>
      <w:rPr>
        <w:rFonts w:ascii="Arial" w:hAnsi="Arial" w:hint="default"/>
      </w:rPr>
    </w:lvl>
    <w:lvl w:ilvl="5" w:tplc="00FAD2EC" w:tentative="1">
      <w:start w:val="1"/>
      <w:numFmt w:val="bullet"/>
      <w:lvlText w:val="•"/>
      <w:lvlJc w:val="left"/>
      <w:pPr>
        <w:tabs>
          <w:tab w:val="num" w:pos="4320"/>
        </w:tabs>
        <w:ind w:left="4320" w:hanging="360"/>
      </w:pPr>
      <w:rPr>
        <w:rFonts w:ascii="Arial" w:hAnsi="Arial" w:hint="default"/>
      </w:rPr>
    </w:lvl>
    <w:lvl w:ilvl="6" w:tplc="5CBAA958" w:tentative="1">
      <w:start w:val="1"/>
      <w:numFmt w:val="bullet"/>
      <w:lvlText w:val="•"/>
      <w:lvlJc w:val="left"/>
      <w:pPr>
        <w:tabs>
          <w:tab w:val="num" w:pos="5040"/>
        </w:tabs>
        <w:ind w:left="5040" w:hanging="360"/>
      </w:pPr>
      <w:rPr>
        <w:rFonts w:ascii="Arial" w:hAnsi="Arial" w:hint="default"/>
      </w:rPr>
    </w:lvl>
    <w:lvl w:ilvl="7" w:tplc="06787682" w:tentative="1">
      <w:start w:val="1"/>
      <w:numFmt w:val="bullet"/>
      <w:lvlText w:val="•"/>
      <w:lvlJc w:val="left"/>
      <w:pPr>
        <w:tabs>
          <w:tab w:val="num" w:pos="5760"/>
        </w:tabs>
        <w:ind w:left="5760" w:hanging="360"/>
      </w:pPr>
      <w:rPr>
        <w:rFonts w:ascii="Arial" w:hAnsi="Arial" w:hint="default"/>
      </w:rPr>
    </w:lvl>
    <w:lvl w:ilvl="8" w:tplc="E444949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7"/>
  </w:num>
  <w:num w:numId="4">
    <w:abstractNumId w:val="2"/>
  </w:num>
  <w:num w:numId="5">
    <w:abstractNumId w:val="12"/>
  </w:num>
  <w:num w:numId="6">
    <w:abstractNumId w:val="6"/>
  </w:num>
  <w:num w:numId="7">
    <w:abstractNumId w:val="14"/>
  </w:num>
  <w:num w:numId="8">
    <w:abstractNumId w:val="11"/>
  </w:num>
  <w:num w:numId="9">
    <w:abstractNumId w:val="8"/>
  </w:num>
  <w:num w:numId="10">
    <w:abstractNumId w:val="10"/>
  </w:num>
  <w:num w:numId="11">
    <w:abstractNumId w:val="13"/>
  </w:num>
  <w:num w:numId="12">
    <w:abstractNumId w:val="4"/>
  </w:num>
  <w:num w:numId="13">
    <w:abstractNumId w:val="0"/>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912"/>
    <w:rsid w:val="000B703D"/>
    <w:rsid w:val="00213912"/>
    <w:rsid w:val="002502EA"/>
    <w:rsid w:val="00266336"/>
    <w:rsid w:val="002E5881"/>
    <w:rsid w:val="00350E70"/>
    <w:rsid w:val="003A6E72"/>
    <w:rsid w:val="003B432D"/>
    <w:rsid w:val="003B4E36"/>
    <w:rsid w:val="0044247C"/>
    <w:rsid w:val="005930B3"/>
    <w:rsid w:val="005C4CDF"/>
    <w:rsid w:val="006556FD"/>
    <w:rsid w:val="006B1645"/>
    <w:rsid w:val="00733D39"/>
    <w:rsid w:val="007A006A"/>
    <w:rsid w:val="00863432"/>
    <w:rsid w:val="0099303E"/>
    <w:rsid w:val="00C042C4"/>
    <w:rsid w:val="00C60785"/>
    <w:rsid w:val="00EA26B4"/>
    <w:rsid w:val="00EE3206"/>
    <w:rsid w:val="00FA5CD3"/>
    <w:rsid w:val="00FB3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0CE0F4"/>
  <w15:chartTrackingRefBased/>
  <w15:docId w15:val="{0D156900-D50A-4162-A13C-3B29EBD3E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13912"/>
    <w:rPr>
      <w:rFonts w:eastAsiaTheme="minorEastAsia"/>
    </w:rPr>
  </w:style>
  <w:style w:type="paragraph" w:styleId="Heading1">
    <w:name w:val="heading 1"/>
    <w:basedOn w:val="Normal"/>
    <w:next w:val="Normal"/>
    <w:link w:val="Heading1Char"/>
    <w:uiPriority w:val="9"/>
    <w:qFormat/>
    <w:rsid w:val="00213912"/>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213912"/>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213912"/>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213912"/>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213912"/>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213912"/>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21391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1391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1391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912"/>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213912"/>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213912"/>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21391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213912"/>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213912"/>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21391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1391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13912"/>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213912"/>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213912"/>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13912"/>
    <w:pPr>
      <w:ind w:left="720"/>
      <w:contextualSpacing/>
    </w:pPr>
  </w:style>
  <w:style w:type="paragraph" w:styleId="Header">
    <w:name w:val="header"/>
    <w:basedOn w:val="Normal"/>
    <w:link w:val="HeaderChar"/>
    <w:uiPriority w:val="99"/>
    <w:semiHidden/>
    <w:unhideWhenUsed/>
    <w:rsid w:val="0021391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13912"/>
    <w:rPr>
      <w:rFonts w:eastAsiaTheme="minorEastAsia"/>
    </w:rPr>
  </w:style>
  <w:style w:type="table" w:styleId="TableGrid">
    <w:name w:val="Table Grid"/>
    <w:basedOn w:val="TableNormal"/>
    <w:qFormat/>
    <w:rsid w:val="000B7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0B703D"/>
    <w:rPr>
      <w:rFonts w:eastAsiaTheme="minorEastAsia"/>
    </w:rPr>
  </w:style>
  <w:style w:type="paragraph" w:styleId="BalloonText">
    <w:name w:val="Balloon Text"/>
    <w:basedOn w:val="Normal"/>
    <w:link w:val="BalloonTextChar"/>
    <w:uiPriority w:val="99"/>
    <w:semiHidden/>
    <w:unhideWhenUsed/>
    <w:rsid w:val="00350E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0E70"/>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350E70"/>
    <w:rPr>
      <w:sz w:val="16"/>
      <w:szCs w:val="16"/>
    </w:rPr>
  </w:style>
  <w:style w:type="paragraph" w:styleId="CommentText">
    <w:name w:val="annotation text"/>
    <w:basedOn w:val="Normal"/>
    <w:link w:val="CommentTextChar"/>
    <w:uiPriority w:val="99"/>
    <w:semiHidden/>
    <w:unhideWhenUsed/>
    <w:rsid w:val="00350E70"/>
    <w:pPr>
      <w:spacing w:line="240" w:lineRule="auto"/>
    </w:pPr>
    <w:rPr>
      <w:sz w:val="20"/>
      <w:szCs w:val="20"/>
    </w:rPr>
  </w:style>
  <w:style w:type="character" w:customStyle="1" w:styleId="CommentTextChar">
    <w:name w:val="Comment Text Char"/>
    <w:basedOn w:val="DefaultParagraphFont"/>
    <w:link w:val="CommentText"/>
    <w:uiPriority w:val="99"/>
    <w:semiHidden/>
    <w:rsid w:val="00350E70"/>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50E70"/>
    <w:rPr>
      <w:b/>
      <w:bCs/>
    </w:rPr>
  </w:style>
  <w:style w:type="character" w:customStyle="1" w:styleId="CommentSubjectChar">
    <w:name w:val="Comment Subject Char"/>
    <w:basedOn w:val="CommentTextChar"/>
    <w:link w:val="CommentSubject"/>
    <w:uiPriority w:val="99"/>
    <w:semiHidden/>
    <w:rsid w:val="00350E7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2818">
      <w:bodyDiv w:val="1"/>
      <w:marLeft w:val="0"/>
      <w:marRight w:val="0"/>
      <w:marTop w:val="0"/>
      <w:marBottom w:val="0"/>
      <w:divBdr>
        <w:top w:val="none" w:sz="0" w:space="0" w:color="auto"/>
        <w:left w:val="none" w:sz="0" w:space="0" w:color="auto"/>
        <w:bottom w:val="none" w:sz="0" w:space="0" w:color="auto"/>
        <w:right w:val="none" w:sz="0" w:space="0" w:color="auto"/>
      </w:divBdr>
    </w:div>
    <w:div w:id="677387781">
      <w:bodyDiv w:val="1"/>
      <w:marLeft w:val="0"/>
      <w:marRight w:val="0"/>
      <w:marTop w:val="0"/>
      <w:marBottom w:val="0"/>
      <w:divBdr>
        <w:top w:val="none" w:sz="0" w:space="0" w:color="auto"/>
        <w:left w:val="none" w:sz="0" w:space="0" w:color="auto"/>
        <w:bottom w:val="none" w:sz="0" w:space="0" w:color="auto"/>
        <w:right w:val="none" w:sz="0" w:space="0" w:color="auto"/>
      </w:divBdr>
      <w:divsChild>
        <w:div w:id="1647276169">
          <w:marLeft w:val="1166"/>
          <w:marRight w:val="0"/>
          <w:marTop w:val="0"/>
          <w:marBottom w:val="0"/>
          <w:divBdr>
            <w:top w:val="none" w:sz="0" w:space="0" w:color="auto"/>
            <w:left w:val="none" w:sz="0" w:space="0" w:color="auto"/>
            <w:bottom w:val="none" w:sz="0" w:space="0" w:color="auto"/>
            <w:right w:val="none" w:sz="0" w:space="0" w:color="auto"/>
          </w:divBdr>
        </w:div>
        <w:div w:id="1402673549">
          <w:marLeft w:val="1166"/>
          <w:marRight w:val="0"/>
          <w:marTop w:val="0"/>
          <w:marBottom w:val="0"/>
          <w:divBdr>
            <w:top w:val="none" w:sz="0" w:space="0" w:color="auto"/>
            <w:left w:val="none" w:sz="0" w:space="0" w:color="auto"/>
            <w:bottom w:val="none" w:sz="0" w:space="0" w:color="auto"/>
            <w:right w:val="none" w:sz="0" w:space="0" w:color="auto"/>
          </w:divBdr>
        </w:div>
        <w:div w:id="1423339222">
          <w:marLeft w:val="1166"/>
          <w:marRight w:val="0"/>
          <w:marTop w:val="0"/>
          <w:marBottom w:val="0"/>
          <w:divBdr>
            <w:top w:val="none" w:sz="0" w:space="0" w:color="auto"/>
            <w:left w:val="none" w:sz="0" w:space="0" w:color="auto"/>
            <w:bottom w:val="none" w:sz="0" w:space="0" w:color="auto"/>
            <w:right w:val="none" w:sz="0" w:space="0" w:color="auto"/>
          </w:divBdr>
        </w:div>
      </w:divsChild>
    </w:div>
    <w:div w:id="1399937100">
      <w:bodyDiv w:val="1"/>
      <w:marLeft w:val="0"/>
      <w:marRight w:val="0"/>
      <w:marTop w:val="0"/>
      <w:marBottom w:val="0"/>
      <w:divBdr>
        <w:top w:val="none" w:sz="0" w:space="0" w:color="auto"/>
        <w:left w:val="none" w:sz="0" w:space="0" w:color="auto"/>
        <w:bottom w:val="none" w:sz="0" w:space="0" w:color="auto"/>
        <w:right w:val="none" w:sz="0" w:space="0" w:color="auto"/>
      </w:divBdr>
      <w:divsChild>
        <w:div w:id="1898391008">
          <w:marLeft w:val="1166"/>
          <w:marRight w:val="0"/>
          <w:marTop w:val="0"/>
          <w:marBottom w:val="0"/>
          <w:divBdr>
            <w:top w:val="none" w:sz="0" w:space="0" w:color="auto"/>
            <w:left w:val="none" w:sz="0" w:space="0" w:color="auto"/>
            <w:bottom w:val="none" w:sz="0" w:space="0" w:color="auto"/>
            <w:right w:val="none" w:sz="0" w:space="0" w:color="auto"/>
          </w:divBdr>
        </w:div>
        <w:div w:id="1410736362">
          <w:marLeft w:val="1886"/>
          <w:marRight w:val="0"/>
          <w:marTop w:val="0"/>
          <w:marBottom w:val="0"/>
          <w:divBdr>
            <w:top w:val="none" w:sz="0" w:space="0" w:color="auto"/>
            <w:left w:val="none" w:sz="0" w:space="0" w:color="auto"/>
            <w:bottom w:val="none" w:sz="0" w:space="0" w:color="auto"/>
            <w:right w:val="none" w:sz="0" w:space="0" w:color="auto"/>
          </w:divBdr>
        </w:div>
        <w:div w:id="672074605">
          <w:marLeft w:val="1886"/>
          <w:marRight w:val="0"/>
          <w:marTop w:val="0"/>
          <w:marBottom w:val="0"/>
          <w:divBdr>
            <w:top w:val="none" w:sz="0" w:space="0" w:color="auto"/>
            <w:left w:val="none" w:sz="0" w:space="0" w:color="auto"/>
            <w:bottom w:val="none" w:sz="0" w:space="0" w:color="auto"/>
            <w:right w:val="none" w:sz="0" w:space="0" w:color="auto"/>
          </w:divBdr>
        </w:div>
        <w:div w:id="15815723">
          <w:marLeft w:val="1166"/>
          <w:marRight w:val="0"/>
          <w:marTop w:val="0"/>
          <w:marBottom w:val="0"/>
          <w:divBdr>
            <w:top w:val="none" w:sz="0" w:space="0" w:color="auto"/>
            <w:left w:val="none" w:sz="0" w:space="0" w:color="auto"/>
            <w:bottom w:val="none" w:sz="0" w:space="0" w:color="auto"/>
            <w:right w:val="none" w:sz="0" w:space="0" w:color="auto"/>
          </w:divBdr>
        </w:div>
        <w:div w:id="1085957446">
          <w:marLeft w:val="1886"/>
          <w:marRight w:val="0"/>
          <w:marTop w:val="0"/>
          <w:marBottom w:val="0"/>
          <w:divBdr>
            <w:top w:val="none" w:sz="0" w:space="0" w:color="auto"/>
            <w:left w:val="none" w:sz="0" w:space="0" w:color="auto"/>
            <w:bottom w:val="none" w:sz="0" w:space="0" w:color="auto"/>
            <w:right w:val="none" w:sz="0" w:space="0" w:color="auto"/>
          </w:divBdr>
        </w:div>
      </w:divsChild>
    </w:div>
    <w:div w:id="1589583674">
      <w:bodyDiv w:val="1"/>
      <w:marLeft w:val="0"/>
      <w:marRight w:val="0"/>
      <w:marTop w:val="0"/>
      <w:marBottom w:val="0"/>
      <w:divBdr>
        <w:top w:val="none" w:sz="0" w:space="0" w:color="auto"/>
        <w:left w:val="none" w:sz="0" w:space="0" w:color="auto"/>
        <w:bottom w:val="none" w:sz="0" w:space="0" w:color="auto"/>
        <w:right w:val="none" w:sz="0" w:space="0" w:color="auto"/>
      </w:divBdr>
    </w:div>
    <w:div w:id="1732926026">
      <w:bodyDiv w:val="1"/>
      <w:marLeft w:val="0"/>
      <w:marRight w:val="0"/>
      <w:marTop w:val="0"/>
      <w:marBottom w:val="0"/>
      <w:divBdr>
        <w:top w:val="none" w:sz="0" w:space="0" w:color="auto"/>
        <w:left w:val="none" w:sz="0" w:space="0" w:color="auto"/>
        <w:bottom w:val="none" w:sz="0" w:space="0" w:color="auto"/>
        <w:right w:val="none" w:sz="0" w:space="0" w:color="auto"/>
      </w:divBdr>
      <w:divsChild>
        <w:div w:id="191188896">
          <w:marLeft w:val="1166"/>
          <w:marRight w:val="0"/>
          <w:marTop w:val="0"/>
          <w:marBottom w:val="0"/>
          <w:divBdr>
            <w:top w:val="none" w:sz="0" w:space="0" w:color="auto"/>
            <w:left w:val="none" w:sz="0" w:space="0" w:color="auto"/>
            <w:bottom w:val="none" w:sz="0" w:space="0" w:color="auto"/>
            <w:right w:val="none" w:sz="0" w:space="0" w:color="auto"/>
          </w:divBdr>
        </w:div>
        <w:div w:id="47070108">
          <w:marLeft w:val="1886"/>
          <w:marRight w:val="0"/>
          <w:marTop w:val="0"/>
          <w:marBottom w:val="0"/>
          <w:divBdr>
            <w:top w:val="none" w:sz="0" w:space="0" w:color="auto"/>
            <w:left w:val="none" w:sz="0" w:space="0" w:color="auto"/>
            <w:bottom w:val="none" w:sz="0" w:space="0" w:color="auto"/>
            <w:right w:val="none" w:sz="0" w:space="0" w:color="auto"/>
          </w:divBdr>
        </w:div>
      </w:divsChild>
    </w:div>
    <w:div w:id="1821531800">
      <w:bodyDiv w:val="1"/>
      <w:marLeft w:val="0"/>
      <w:marRight w:val="0"/>
      <w:marTop w:val="0"/>
      <w:marBottom w:val="0"/>
      <w:divBdr>
        <w:top w:val="none" w:sz="0" w:space="0" w:color="auto"/>
        <w:left w:val="none" w:sz="0" w:space="0" w:color="auto"/>
        <w:bottom w:val="none" w:sz="0" w:space="0" w:color="auto"/>
        <w:right w:val="none" w:sz="0" w:space="0" w:color="auto"/>
      </w:divBdr>
      <w:divsChild>
        <w:div w:id="238101838">
          <w:marLeft w:val="1166"/>
          <w:marRight w:val="0"/>
          <w:marTop w:val="0"/>
          <w:marBottom w:val="0"/>
          <w:divBdr>
            <w:top w:val="none" w:sz="0" w:space="0" w:color="auto"/>
            <w:left w:val="none" w:sz="0" w:space="0" w:color="auto"/>
            <w:bottom w:val="none" w:sz="0" w:space="0" w:color="auto"/>
            <w:right w:val="none" w:sz="0" w:space="0" w:color="auto"/>
          </w:divBdr>
        </w:div>
        <w:div w:id="572277558">
          <w:marLeft w:val="1886"/>
          <w:marRight w:val="0"/>
          <w:marTop w:val="0"/>
          <w:marBottom w:val="0"/>
          <w:divBdr>
            <w:top w:val="none" w:sz="0" w:space="0" w:color="auto"/>
            <w:left w:val="none" w:sz="0" w:space="0" w:color="auto"/>
            <w:bottom w:val="none" w:sz="0" w:space="0" w:color="auto"/>
            <w:right w:val="none" w:sz="0" w:space="0" w:color="auto"/>
          </w:divBdr>
        </w:div>
        <w:div w:id="360009410">
          <w:marLeft w:val="1166"/>
          <w:marRight w:val="0"/>
          <w:marTop w:val="0"/>
          <w:marBottom w:val="0"/>
          <w:divBdr>
            <w:top w:val="none" w:sz="0" w:space="0" w:color="auto"/>
            <w:left w:val="none" w:sz="0" w:space="0" w:color="auto"/>
            <w:bottom w:val="none" w:sz="0" w:space="0" w:color="auto"/>
            <w:right w:val="none" w:sz="0" w:space="0" w:color="auto"/>
          </w:divBdr>
        </w:div>
        <w:div w:id="594753079">
          <w:marLeft w:val="1886"/>
          <w:marRight w:val="0"/>
          <w:marTop w:val="0"/>
          <w:marBottom w:val="0"/>
          <w:divBdr>
            <w:top w:val="none" w:sz="0" w:space="0" w:color="auto"/>
            <w:left w:val="none" w:sz="0" w:space="0" w:color="auto"/>
            <w:bottom w:val="none" w:sz="0" w:space="0" w:color="auto"/>
            <w:right w:val="none" w:sz="0" w:space="0" w:color="auto"/>
          </w:divBdr>
        </w:div>
        <w:div w:id="791555759">
          <w:marLeft w:val="1886"/>
          <w:marRight w:val="0"/>
          <w:marTop w:val="0"/>
          <w:marBottom w:val="0"/>
          <w:divBdr>
            <w:top w:val="none" w:sz="0" w:space="0" w:color="auto"/>
            <w:left w:val="none" w:sz="0" w:space="0" w:color="auto"/>
            <w:bottom w:val="none" w:sz="0" w:space="0" w:color="auto"/>
            <w:right w:val="none" w:sz="0" w:space="0" w:color="auto"/>
          </w:divBdr>
        </w:div>
        <w:div w:id="330257081">
          <w:marLeft w:val="2606"/>
          <w:marRight w:val="0"/>
          <w:marTop w:val="0"/>
          <w:marBottom w:val="0"/>
          <w:divBdr>
            <w:top w:val="none" w:sz="0" w:space="0" w:color="auto"/>
            <w:left w:val="none" w:sz="0" w:space="0" w:color="auto"/>
            <w:bottom w:val="none" w:sz="0" w:space="0" w:color="auto"/>
            <w:right w:val="none" w:sz="0" w:space="0" w:color="auto"/>
          </w:divBdr>
        </w:div>
        <w:div w:id="836652736">
          <w:marLeft w:val="2606"/>
          <w:marRight w:val="0"/>
          <w:marTop w:val="0"/>
          <w:marBottom w:val="0"/>
          <w:divBdr>
            <w:top w:val="none" w:sz="0" w:space="0" w:color="auto"/>
            <w:left w:val="none" w:sz="0" w:space="0" w:color="auto"/>
            <w:bottom w:val="none" w:sz="0" w:space="0" w:color="auto"/>
            <w:right w:val="none" w:sz="0" w:space="0" w:color="auto"/>
          </w:divBdr>
        </w:div>
        <w:div w:id="1509294613">
          <w:marLeft w:val="2606"/>
          <w:marRight w:val="0"/>
          <w:marTop w:val="0"/>
          <w:marBottom w:val="0"/>
          <w:divBdr>
            <w:top w:val="none" w:sz="0" w:space="0" w:color="auto"/>
            <w:left w:val="none" w:sz="0" w:space="0" w:color="auto"/>
            <w:bottom w:val="none" w:sz="0" w:space="0" w:color="auto"/>
            <w:right w:val="none" w:sz="0" w:space="0" w:color="auto"/>
          </w:divBdr>
        </w:div>
      </w:divsChild>
    </w:div>
    <w:div w:id="1856457273">
      <w:bodyDiv w:val="1"/>
      <w:marLeft w:val="0"/>
      <w:marRight w:val="0"/>
      <w:marTop w:val="0"/>
      <w:marBottom w:val="0"/>
      <w:divBdr>
        <w:top w:val="none" w:sz="0" w:space="0" w:color="auto"/>
        <w:left w:val="none" w:sz="0" w:space="0" w:color="auto"/>
        <w:bottom w:val="none" w:sz="0" w:space="0" w:color="auto"/>
        <w:right w:val="none" w:sz="0" w:space="0" w:color="auto"/>
      </w:divBdr>
      <w:divsChild>
        <w:div w:id="2123182161">
          <w:marLeft w:val="1166"/>
          <w:marRight w:val="0"/>
          <w:marTop w:val="0"/>
          <w:marBottom w:val="0"/>
          <w:divBdr>
            <w:top w:val="none" w:sz="0" w:space="0" w:color="auto"/>
            <w:left w:val="none" w:sz="0" w:space="0" w:color="auto"/>
            <w:bottom w:val="none" w:sz="0" w:space="0" w:color="auto"/>
            <w:right w:val="none" w:sz="0" w:space="0" w:color="auto"/>
          </w:divBdr>
        </w:div>
        <w:div w:id="1571043050">
          <w:marLeft w:val="1166"/>
          <w:marRight w:val="0"/>
          <w:marTop w:val="0"/>
          <w:marBottom w:val="0"/>
          <w:divBdr>
            <w:top w:val="none" w:sz="0" w:space="0" w:color="auto"/>
            <w:left w:val="none" w:sz="0" w:space="0" w:color="auto"/>
            <w:bottom w:val="none" w:sz="0" w:space="0" w:color="auto"/>
            <w:right w:val="none" w:sz="0" w:space="0" w:color="auto"/>
          </w:divBdr>
        </w:div>
        <w:div w:id="974675005">
          <w:marLeft w:val="1886"/>
          <w:marRight w:val="0"/>
          <w:marTop w:val="0"/>
          <w:marBottom w:val="0"/>
          <w:divBdr>
            <w:top w:val="none" w:sz="0" w:space="0" w:color="auto"/>
            <w:left w:val="none" w:sz="0" w:space="0" w:color="auto"/>
            <w:bottom w:val="none" w:sz="0" w:space="0" w:color="auto"/>
            <w:right w:val="none" w:sz="0" w:space="0" w:color="auto"/>
          </w:divBdr>
        </w:div>
        <w:div w:id="764304585">
          <w:marLeft w:val="2606"/>
          <w:marRight w:val="0"/>
          <w:marTop w:val="0"/>
          <w:marBottom w:val="0"/>
          <w:divBdr>
            <w:top w:val="none" w:sz="0" w:space="0" w:color="auto"/>
            <w:left w:val="none" w:sz="0" w:space="0" w:color="auto"/>
            <w:bottom w:val="none" w:sz="0" w:space="0" w:color="auto"/>
            <w:right w:val="none" w:sz="0" w:space="0" w:color="auto"/>
          </w:divBdr>
        </w:div>
        <w:div w:id="1016349774">
          <w:marLeft w:val="3326"/>
          <w:marRight w:val="0"/>
          <w:marTop w:val="0"/>
          <w:marBottom w:val="0"/>
          <w:divBdr>
            <w:top w:val="none" w:sz="0" w:space="0" w:color="auto"/>
            <w:left w:val="none" w:sz="0" w:space="0" w:color="auto"/>
            <w:bottom w:val="none" w:sz="0" w:space="0" w:color="auto"/>
            <w:right w:val="none" w:sz="0" w:space="0" w:color="auto"/>
          </w:divBdr>
        </w:div>
        <w:div w:id="2134328347">
          <w:marLeft w:val="2606"/>
          <w:marRight w:val="0"/>
          <w:marTop w:val="0"/>
          <w:marBottom w:val="0"/>
          <w:divBdr>
            <w:top w:val="none" w:sz="0" w:space="0" w:color="auto"/>
            <w:left w:val="none" w:sz="0" w:space="0" w:color="auto"/>
            <w:bottom w:val="none" w:sz="0" w:space="0" w:color="auto"/>
            <w:right w:val="none" w:sz="0" w:space="0" w:color="auto"/>
          </w:divBdr>
        </w:div>
        <w:div w:id="188953033">
          <w:marLeft w:val="1166"/>
          <w:marRight w:val="0"/>
          <w:marTop w:val="0"/>
          <w:marBottom w:val="0"/>
          <w:divBdr>
            <w:top w:val="none" w:sz="0" w:space="0" w:color="auto"/>
            <w:left w:val="none" w:sz="0" w:space="0" w:color="auto"/>
            <w:bottom w:val="none" w:sz="0" w:space="0" w:color="auto"/>
            <w:right w:val="none" w:sz="0" w:space="0" w:color="auto"/>
          </w:divBdr>
        </w:div>
        <w:div w:id="993492656">
          <w:marLeft w:val="1886"/>
          <w:marRight w:val="0"/>
          <w:marTop w:val="0"/>
          <w:marBottom w:val="0"/>
          <w:divBdr>
            <w:top w:val="none" w:sz="0" w:space="0" w:color="auto"/>
            <w:left w:val="none" w:sz="0" w:space="0" w:color="auto"/>
            <w:bottom w:val="none" w:sz="0" w:space="0" w:color="auto"/>
            <w:right w:val="none" w:sz="0" w:space="0" w:color="auto"/>
          </w:divBdr>
        </w:div>
        <w:div w:id="13532163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AC7A10-C374-4CDD-B243-BF3F54C6B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9633BE-F39C-44B5-A123-C1C10E6C0285}">
  <ds:schemaRefs>
    <ds:schemaRef ds:uri="http://schemas.microsoft.com/sharepoint/v3/contenttype/forms"/>
  </ds:schemaRefs>
</ds:datastoreItem>
</file>

<file path=customXml/itemProps3.xml><?xml version="1.0" encoding="utf-8"?>
<ds:datastoreItem xmlns:ds="http://schemas.openxmlformats.org/officeDocument/2006/customXml" ds:itemID="{39DCBC8D-773C-43E9-8052-68B8383722EF}">
  <ds:schemaRefs>
    <ds:schemaRef ds:uri="http://schemas.microsoft.com/office/2006/metadata/properties"/>
    <ds:schemaRef ds:uri="http://schemas.microsoft.com/office/infopath/2007/PartnerControl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1788</Words>
  <Characters>10197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2020-05-15T20:20:00Z</dcterms:created>
  <dcterms:modified xsi:type="dcterms:W3CDTF">2020-05-15T20:20:00Z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